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4F0F0" w14:textId="339405B7" w:rsidR="005E43A7" w:rsidRPr="00382092" w:rsidRDefault="005E43A7" w:rsidP="005E43A7">
      <w:pPr>
        <w:jc w:val="left"/>
        <w:rPr>
          <w:rFonts w:ascii="Arial" w:eastAsia="MS Mincho" w:hAnsi="Arial"/>
          <w:b/>
          <w:sz w:val="24"/>
          <w:szCs w:val="24"/>
          <w:lang w:eastAsia="x-none"/>
        </w:rPr>
      </w:pPr>
      <w:r w:rsidRPr="00382092">
        <w:rPr>
          <w:rFonts w:ascii="Arial" w:eastAsia="MS Mincho" w:hAnsi="Arial"/>
          <w:b/>
          <w:sz w:val="24"/>
          <w:szCs w:val="24"/>
          <w:lang w:eastAsia="x-none"/>
        </w:rPr>
        <w:t>3GPP TSG RAN WG2 Meeting #10</w:t>
      </w:r>
      <w:r w:rsidR="009A7D17">
        <w:rPr>
          <w:rFonts w:ascii="Arial" w:eastAsia="MS Mincho" w:hAnsi="Arial"/>
          <w:b/>
          <w:sz w:val="24"/>
          <w:szCs w:val="24"/>
          <w:lang w:eastAsia="x-none"/>
        </w:rPr>
        <w:t>8</w:t>
      </w:r>
      <w:r w:rsidR="00382092">
        <w:rPr>
          <w:rFonts w:ascii="Arial" w:eastAsia="MS Mincho" w:hAnsi="Arial"/>
          <w:b/>
          <w:sz w:val="24"/>
          <w:szCs w:val="24"/>
          <w:lang w:eastAsia="x-none"/>
        </w:rPr>
        <w:t xml:space="preserve">           </w:t>
      </w:r>
      <w:r w:rsidR="00382092">
        <w:rPr>
          <w:rFonts w:ascii="Arial" w:eastAsia="MS Mincho" w:hAnsi="Arial"/>
          <w:b/>
          <w:sz w:val="24"/>
          <w:szCs w:val="24"/>
          <w:lang w:eastAsia="x-none"/>
        </w:rPr>
        <w:tab/>
      </w:r>
      <w:r w:rsidR="00382092">
        <w:rPr>
          <w:rFonts w:ascii="Arial" w:eastAsia="MS Mincho" w:hAnsi="Arial"/>
          <w:b/>
          <w:sz w:val="24"/>
          <w:szCs w:val="24"/>
          <w:lang w:eastAsia="x-none"/>
        </w:rPr>
        <w:tab/>
        <w:t xml:space="preserve">      </w:t>
      </w:r>
      <w:r w:rsidRPr="00382092">
        <w:rPr>
          <w:rFonts w:ascii="Arial" w:eastAsia="MS Mincho" w:hAnsi="Arial"/>
          <w:b/>
          <w:sz w:val="24"/>
          <w:szCs w:val="24"/>
          <w:lang w:eastAsia="x-none"/>
        </w:rPr>
        <w:t xml:space="preserve">    </w:t>
      </w:r>
      <w:r w:rsidRPr="00382092">
        <w:rPr>
          <w:rFonts w:ascii="Arial" w:eastAsia="MS Mincho" w:hAnsi="Arial"/>
          <w:b/>
          <w:sz w:val="24"/>
          <w:szCs w:val="24"/>
          <w:lang w:eastAsia="x-none"/>
        </w:rPr>
        <w:tab/>
        <w:t xml:space="preserve">      </w:t>
      </w:r>
      <w:r w:rsidR="009A7D17">
        <w:rPr>
          <w:rFonts w:ascii="Arial" w:eastAsia="MS Mincho" w:hAnsi="Arial"/>
          <w:b/>
          <w:sz w:val="24"/>
          <w:szCs w:val="24"/>
          <w:lang w:eastAsia="x-none"/>
        </w:rPr>
        <w:tab/>
      </w:r>
      <w:r w:rsidR="009A7D17">
        <w:rPr>
          <w:rFonts w:ascii="Arial" w:eastAsia="MS Mincho" w:hAnsi="Arial"/>
          <w:b/>
          <w:sz w:val="24"/>
          <w:szCs w:val="24"/>
          <w:lang w:eastAsia="x-none"/>
        </w:rPr>
        <w:tab/>
      </w:r>
      <w:r w:rsidRPr="00382092">
        <w:rPr>
          <w:rFonts w:ascii="Arial" w:eastAsia="MS Mincho" w:hAnsi="Arial"/>
          <w:b/>
          <w:sz w:val="24"/>
          <w:szCs w:val="24"/>
          <w:lang w:eastAsia="x-none"/>
        </w:rPr>
        <w:t>R2-</w:t>
      </w:r>
      <w:r w:rsidR="00C644A4" w:rsidRPr="00382092">
        <w:rPr>
          <w:rFonts w:ascii="Arial" w:eastAsia="MS Mincho" w:hAnsi="Arial"/>
          <w:b/>
          <w:sz w:val="24"/>
          <w:szCs w:val="24"/>
          <w:lang w:eastAsia="x-none"/>
        </w:rPr>
        <w:t>19</w:t>
      </w:r>
      <w:r w:rsidR="00C644A4">
        <w:rPr>
          <w:rFonts w:ascii="Arial" w:eastAsia="MS Mincho" w:hAnsi="Arial"/>
          <w:b/>
          <w:sz w:val="24"/>
          <w:szCs w:val="24"/>
          <w:lang w:eastAsia="x-none"/>
        </w:rPr>
        <w:t>14747</w:t>
      </w:r>
    </w:p>
    <w:p w14:paraId="0134F0F1" w14:textId="79796387" w:rsidR="005E43A7" w:rsidRDefault="009A7D17" w:rsidP="005E43A7">
      <w:pPr>
        <w:pStyle w:val="3GPPHeader"/>
        <w:jc w:val="right"/>
        <w:rPr>
          <w:rFonts w:eastAsia="MS Mincho"/>
          <w:szCs w:val="24"/>
          <w:lang w:eastAsia="x-none"/>
        </w:rPr>
      </w:pPr>
      <w:r>
        <w:rPr>
          <w:rFonts w:eastAsia="MS Mincho"/>
          <w:szCs w:val="24"/>
          <w:lang w:eastAsia="x-none"/>
        </w:rPr>
        <w:t>Reno, U.S.A.</w:t>
      </w:r>
      <w:r w:rsidR="00382092">
        <w:rPr>
          <w:rFonts w:eastAsia="MS Mincho"/>
          <w:szCs w:val="24"/>
          <w:lang w:eastAsia="x-none"/>
        </w:rPr>
        <w:t>,</w:t>
      </w:r>
      <w:r>
        <w:rPr>
          <w:rFonts w:eastAsia="MS Mincho"/>
          <w:szCs w:val="24"/>
          <w:lang w:eastAsia="x-none"/>
        </w:rPr>
        <w:t xml:space="preserve"> Nov 18-22,</w:t>
      </w:r>
      <w:r w:rsidR="005E43A7" w:rsidRPr="00382092">
        <w:rPr>
          <w:rFonts w:eastAsia="MS Mincho"/>
          <w:szCs w:val="24"/>
          <w:lang w:eastAsia="x-none"/>
        </w:rPr>
        <w:t xml:space="preserve"> 2019</w:t>
      </w:r>
      <w:r w:rsidR="00B243F6">
        <w:rPr>
          <w:rFonts w:eastAsia="MS Mincho"/>
          <w:szCs w:val="24"/>
          <w:lang w:eastAsia="x-none"/>
        </w:rPr>
        <w:t xml:space="preserve"> </w:t>
      </w:r>
      <w:r w:rsidR="005E43A7" w:rsidRPr="00751BD7">
        <w:rPr>
          <w:rFonts w:eastAsia="MS Mincho"/>
          <w:szCs w:val="24"/>
          <w:lang w:eastAsia="x-none"/>
        </w:rPr>
        <w:tab/>
      </w:r>
      <w:r w:rsidR="004F73AC" w:rsidRPr="004E1F83">
        <w:rPr>
          <w:rFonts w:eastAsia="MS Mincho"/>
          <w:i/>
          <w:sz w:val="22"/>
          <w:szCs w:val="24"/>
          <w:lang w:eastAsia="x-none"/>
        </w:rPr>
        <w:t>Revision of R2-1912706</w:t>
      </w:r>
    </w:p>
    <w:p w14:paraId="0134F0F2" w14:textId="6C06BB89" w:rsidR="005E43A7" w:rsidRPr="005E43A7" w:rsidRDefault="005E43A7" w:rsidP="005E43A7">
      <w:pPr>
        <w:pStyle w:val="3GPPHeader"/>
        <w:jc w:val="left"/>
        <w:rPr>
          <w:rFonts w:eastAsia="MS Mincho"/>
          <w:szCs w:val="24"/>
          <w:lang w:eastAsia="x-none"/>
        </w:rPr>
      </w:pPr>
      <w:r w:rsidRPr="007730BD">
        <w:rPr>
          <w:sz w:val="22"/>
          <w:szCs w:val="22"/>
          <w:lang w:val="sv-SE"/>
        </w:rPr>
        <w:t>Agenda Item:</w:t>
      </w:r>
      <w:r w:rsidRPr="007730BD">
        <w:rPr>
          <w:sz w:val="22"/>
          <w:szCs w:val="22"/>
          <w:lang w:val="sv-SE"/>
        </w:rPr>
        <w:tab/>
      </w:r>
      <w:r w:rsidR="00E24CB8">
        <w:rPr>
          <w:sz w:val="22"/>
          <w:szCs w:val="22"/>
          <w:lang w:val="sv-SE"/>
        </w:rPr>
        <w:t>6.1.2</w:t>
      </w:r>
    </w:p>
    <w:p w14:paraId="0134F0F3" w14:textId="77777777" w:rsidR="005E43A7" w:rsidRPr="00CE0424" w:rsidRDefault="005E43A7" w:rsidP="005E43A7">
      <w:pPr>
        <w:pStyle w:val="3GPPHeader"/>
        <w:jc w:val="left"/>
        <w:rPr>
          <w:sz w:val="22"/>
          <w:szCs w:val="22"/>
        </w:rPr>
      </w:pPr>
      <w:r>
        <w:rPr>
          <w:sz w:val="22"/>
          <w:szCs w:val="22"/>
        </w:rPr>
        <w:t>Source:</w:t>
      </w:r>
      <w:r w:rsidRPr="00CE0424">
        <w:rPr>
          <w:sz w:val="22"/>
          <w:szCs w:val="22"/>
        </w:rPr>
        <w:tab/>
      </w:r>
      <w:r>
        <w:rPr>
          <w:sz w:val="22"/>
          <w:szCs w:val="22"/>
        </w:rPr>
        <w:t>Intel Corporation</w:t>
      </w:r>
    </w:p>
    <w:p w14:paraId="0134F0F4" w14:textId="5A4E0116" w:rsidR="005E43A7" w:rsidRPr="00CE0424" w:rsidRDefault="005E43A7" w:rsidP="005E43A7">
      <w:pPr>
        <w:pStyle w:val="3GPPHeader"/>
        <w:jc w:val="left"/>
        <w:rPr>
          <w:sz w:val="22"/>
          <w:szCs w:val="22"/>
        </w:rPr>
      </w:pPr>
      <w:r>
        <w:rPr>
          <w:sz w:val="22"/>
          <w:szCs w:val="22"/>
        </w:rPr>
        <w:t>Title:</w:t>
      </w:r>
      <w:r>
        <w:rPr>
          <w:sz w:val="22"/>
          <w:szCs w:val="22"/>
        </w:rPr>
        <w:tab/>
      </w:r>
      <w:r w:rsidR="004F73AC">
        <w:rPr>
          <w:sz w:val="22"/>
          <w:szCs w:val="22"/>
        </w:rPr>
        <w:t>Parent selection at UEs during initial setup</w:t>
      </w:r>
    </w:p>
    <w:p w14:paraId="0134F0F5" w14:textId="77777777" w:rsidR="005E43A7" w:rsidRDefault="005E43A7" w:rsidP="005E43A7">
      <w:pPr>
        <w:pStyle w:val="3GPPHeader"/>
        <w:pBdr>
          <w:bottom w:val="single" w:sz="6" w:space="1" w:color="auto"/>
        </w:pBdr>
        <w:jc w:val="left"/>
        <w:rPr>
          <w:sz w:val="22"/>
          <w:szCs w:val="22"/>
        </w:rPr>
      </w:pPr>
      <w:r w:rsidRPr="00CE0424">
        <w:rPr>
          <w:sz w:val="22"/>
          <w:szCs w:val="22"/>
        </w:rPr>
        <w:t>Document for:</w:t>
      </w:r>
      <w:r w:rsidRPr="00CE0424">
        <w:rPr>
          <w:sz w:val="22"/>
          <w:szCs w:val="22"/>
        </w:rPr>
        <w:tab/>
      </w:r>
      <w:r>
        <w:rPr>
          <w:sz w:val="22"/>
          <w:szCs w:val="22"/>
        </w:rPr>
        <w:t>Discussion and Decision</w:t>
      </w:r>
    </w:p>
    <w:p w14:paraId="0134F0F6" w14:textId="77777777" w:rsidR="007D3113" w:rsidRDefault="005E43A7" w:rsidP="005E43A7">
      <w:pPr>
        <w:pStyle w:val="Heading1"/>
      </w:pPr>
      <w:r>
        <w:t>Introduction</w:t>
      </w:r>
    </w:p>
    <w:p w14:paraId="24C20B00" w14:textId="25375116" w:rsidR="007A0008" w:rsidRDefault="007A0008" w:rsidP="007A0008">
      <w:r>
        <w:t>As part of the IAB node integration procedure RAN3 has agreed (LS in R3-194787) that:</w:t>
      </w:r>
    </w:p>
    <w:p w14:paraId="69306B33" w14:textId="1544204E" w:rsidR="007A0008" w:rsidRDefault="007A0008" w:rsidP="007A0008">
      <w:pPr>
        <w:pStyle w:val="ListParagraph"/>
        <w:numPr>
          <w:ilvl w:val="0"/>
          <w:numId w:val="7"/>
        </w:numPr>
      </w:pPr>
      <w:r>
        <w:t>IAB node sends an “IAB indication” in the RRC setup complete message (indicating that it is an IAB node). This is used by the IAB donor CU to identify an AMF/MME that supports IAB.</w:t>
      </w:r>
    </w:p>
    <w:p w14:paraId="257A119F" w14:textId="7891EA87" w:rsidR="007A0008" w:rsidRDefault="007A0008" w:rsidP="007A0008">
      <w:pPr>
        <w:pStyle w:val="ListParagraph"/>
        <w:numPr>
          <w:ilvl w:val="0"/>
          <w:numId w:val="7"/>
        </w:numPr>
      </w:pPr>
      <w:r>
        <w:t>The CU includes an explicit IAB indication in the INITIAL UE MESSAGE to the AMF/MME</w:t>
      </w:r>
    </w:p>
    <w:p w14:paraId="10DF2F76" w14:textId="0E22A025" w:rsidR="007A0008" w:rsidRDefault="007A0008" w:rsidP="007A0008">
      <w:pPr>
        <w:pStyle w:val="ListParagraph"/>
        <w:numPr>
          <w:ilvl w:val="0"/>
          <w:numId w:val="7"/>
        </w:numPr>
      </w:pPr>
      <w:r>
        <w:t>The IAB node and IAB donor broadcast an indication over the air indicating support of IAB (i.e., another IAB node’s MT can attach to it).</w:t>
      </w:r>
    </w:p>
    <w:p w14:paraId="61666044" w14:textId="0588D6E6" w:rsidR="007A0008" w:rsidRDefault="009A7D17" w:rsidP="007A0008">
      <w:r>
        <w:t xml:space="preserve">This contribution considers the issue of </w:t>
      </w:r>
      <w:r w:rsidR="00791E31">
        <w:t>parent selection by UEs</w:t>
      </w:r>
      <w:r>
        <w:t xml:space="preserve">. A companion contribution </w:t>
      </w:r>
      <w:r>
        <w:fldChar w:fldCharType="begin"/>
      </w:r>
      <w:r>
        <w:instrText xml:space="preserve"> REF _Ref23773391 \r \h </w:instrText>
      </w:r>
      <w:r>
        <w:fldChar w:fldCharType="separate"/>
      </w:r>
      <w:r>
        <w:t>[2]</w:t>
      </w:r>
      <w:r>
        <w:fldChar w:fldCharType="end"/>
      </w:r>
      <w:r>
        <w:t xml:space="preserve"> considers the issue of</w:t>
      </w:r>
      <w:r w:rsidR="00791E31" w:rsidRPr="00791E31">
        <w:t xml:space="preserve"> </w:t>
      </w:r>
      <w:r w:rsidR="00791E31">
        <w:t>parent selection at IAB nodes</w:t>
      </w:r>
      <w:r>
        <w:t>.</w:t>
      </w:r>
    </w:p>
    <w:p w14:paraId="0134F0FF" w14:textId="77777777" w:rsidR="005E43A7" w:rsidRDefault="005E43A7" w:rsidP="005E43A7">
      <w:pPr>
        <w:pStyle w:val="Heading1"/>
      </w:pPr>
      <w:r>
        <w:t>Discussion</w:t>
      </w:r>
    </w:p>
    <w:p w14:paraId="7FFEE5C8" w14:textId="66C36E2F" w:rsidR="00E0067E" w:rsidRDefault="00E0067E" w:rsidP="007A0008">
      <w:r>
        <w:t xml:space="preserve">IAB networks are setup to improve capacity and coverage in a </w:t>
      </w:r>
      <w:proofErr w:type="gramStart"/>
      <w:r>
        <w:t>fairly planned</w:t>
      </w:r>
      <w:proofErr w:type="gramEnd"/>
      <w:r>
        <w:t xml:space="preserve"> manner. This implies that IAB nodes near a given IAB donor are all activated at roughly the same time. This is especially true for scenarios where IAB networks are used to provide additional capacity at events – e.g., at sporting events and concerts. </w:t>
      </w:r>
    </w:p>
    <w:p w14:paraId="7266FB94" w14:textId="5A786868" w:rsidR="00E0067E" w:rsidRDefault="00E0067E" w:rsidP="007A0008">
      <w:r>
        <w:t>IAB nodes follow the same procedures as UEs for attaching to t</w:t>
      </w:r>
      <w:r w:rsidR="00181E32">
        <w:t xml:space="preserve">he network. The overall procedure for IAB node integration is shown in </w:t>
      </w:r>
      <w:r w:rsidR="00181E32">
        <w:fldChar w:fldCharType="begin"/>
      </w:r>
      <w:r w:rsidR="00181E32">
        <w:instrText xml:space="preserve"> REF _Ref19701795 \h </w:instrText>
      </w:r>
      <w:r w:rsidR="00181E32">
        <w:fldChar w:fldCharType="separate"/>
      </w:r>
      <w:r w:rsidR="00181E32">
        <w:t xml:space="preserve">Figure </w:t>
      </w:r>
      <w:r w:rsidR="00181E32">
        <w:rPr>
          <w:noProof/>
        </w:rPr>
        <w:t>1</w:t>
      </w:r>
      <w:r w:rsidR="00181E32">
        <w:fldChar w:fldCharType="end"/>
      </w:r>
      <w:r w:rsidR="00181E32">
        <w:t xml:space="preserve"> below (from TS 38.401 </w:t>
      </w:r>
      <w:r w:rsidR="00181E32">
        <w:fldChar w:fldCharType="begin"/>
      </w:r>
      <w:r w:rsidR="00181E32">
        <w:instrText xml:space="preserve"> REF _Ref19702239 \r \h </w:instrText>
      </w:r>
      <w:r w:rsidR="00181E32">
        <w:fldChar w:fldCharType="separate"/>
      </w:r>
      <w:r w:rsidR="00181E32">
        <w:t>[1]</w:t>
      </w:r>
      <w:r w:rsidR="00181E32">
        <w:fldChar w:fldCharType="end"/>
      </w:r>
      <w:r w:rsidR="00181E32">
        <w:t>). In the first stage the IAB MT setup is performed. The MT of an IAB node, in its role as a regular UE, identifies a parent node (another IAB node or an IAB donor). The MT then performs random access and transmits an RRC connection setup request to the CU via the parent node. Following that, the backhaul RLC channel for carrying CP traffic to and from the IAB node is established. This is followed by a routing update phase which includes configuration of BAP routing identifiers and updating of routing tables of the IAB donor DU and all IAB nodes on the path to the IAB node. Following that, in the IAB DU setup phase, the DU functionality of the IAB node is configured (which consists of setting up of the F1-C connection between the IAB node and the IAB donor CU). Once this is completed, the IAB node can provide service to UEs.</w:t>
      </w:r>
    </w:p>
    <w:p w14:paraId="2EDBADDD" w14:textId="77777777" w:rsidR="00181E32" w:rsidRDefault="00181E32" w:rsidP="00181E32">
      <w:pPr>
        <w:keepNext/>
        <w:jc w:val="center"/>
      </w:pPr>
      <w:r w:rsidRPr="00E23CFA">
        <w:object w:dxaOrig="15390" w:dyaOrig="12954" w14:anchorId="1B096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253.2pt" o:ole="">
            <v:imagedata r:id="rId9" o:title=""/>
          </v:shape>
          <o:OLEObject Type="Embed" ProgID="Visio.Drawing.15" ShapeID="_x0000_i1025" DrawAspect="Content" ObjectID="_1634651699" r:id="rId10"/>
        </w:object>
      </w:r>
    </w:p>
    <w:p w14:paraId="125326EF" w14:textId="6AD3C7D9" w:rsidR="00181E32" w:rsidRDefault="00181E32" w:rsidP="00181E32">
      <w:pPr>
        <w:pStyle w:val="Caption"/>
        <w:jc w:val="center"/>
      </w:pPr>
      <w:bookmarkStart w:id="0" w:name="_Ref19701795"/>
      <w:r>
        <w:t xml:space="preserve">Figure </w:t>
      </w:r>
      <w:r>
        <w:fldChar w:fldCharType="begin"/>
      </w:r>
      <w:r>
        <w:instrText xml:space="preserve"> SEQ Figure \* ARABIC </w:instrText>
      </w:r>
      <w:r>
        <w:fldChar w:fldCharType="separate"/>
      </w:r>
      <w:r w:rsidR="004F73AC">
        <w:rPr>
          <w:noProof/>
        </w:rPr>
        <w:t>1</w:t>
      </w:r>
      <w:r>
        <w:fldChar w:fldCharType="end"/>
      </w:r>
      <w:bookmarkEnd w:id="0"/>
      <w:r>
        <w:t>: Integration</w:t>
      </w:r>
      <w:r w:rsidR="00B911A6">
        <w:t xml:space="preserve"> procedure for IAB node (TS 38.4</w:t>
      </w:r>
      <w:r>
        <w:t>01)</w:t>
      </w:r>
    </w:p>
    <w:p w14:paraId="5564AE71" w14:textId="4B5E8ED5" w:rsidR="00A47D79" w:rsidRDefault="00BB7852" w:rsidP="004F73AC">
      <w:r>
        <w:t>Given that UEs</w:t>
      </w:r>
      <w:r w:rsidR="00155D5A">
        <w:t>/MTs</w:t>
      </w:r>
      <w:r>
        <w:t xml:space="preserve"> </w:t>
      </w:r>
      <w:r w:rsidR="004B39D9">
        <w:t>can attach to the IAB node upon completion of</w:t>
      </w:r>
      <w:r>
        <w:t xml:space="preserve"> the IAB DU setup, </w:t>
      </w:r>
      <w:r w:rsidR="004F73AC">
        <w:t xml:space="preserve">the times at which different IAB nodes become active impacts the selection of the best parent nodes at the UEs. As mentioned in </w:t>
      </w:r>
      <w:r w:rsidR="004F73AC">
        <w:fldChar w:fldCharType="begin"/>
      </w:r>
      <w:r w:rsidR="004F73AC">
        <w:instrText xml:space="preserve"> REF _Ref23773391 \r \h </w:instrText>
      </w:r>
      <w:r w:rsidR="004F73AC">
        <w:fldChar w:fldCharType="separate"/>
      </w:r>
      <w:r w:rsidR="004F73AC">
        <w:t>[2]</w:t>
      </w:r>
      <w:r w:rsidR="004F73AC">
        <w:fldChar w:fldCharType="end"/>
      </w:r>
      <w:r w:rsidR="004F73AC">
        <w:t xml:space="preserve">, there can be variations in the amount of time taken to integrate IAB nodes. We </w:t>
      </w:r>
      <w:proofErr w:type="spellStart"/>
      <w:r w:rsidR="004F73AC">
        <w:t>analyze</w:t>
      </w:r>
      <w:proofErr w:type="spellEnd"/>
      <w:r w:rsidR="004F73AC">
        <w:t xml:space="preserve"> the extent of the sub-optimal parent selection below. </w:t>
      </w:r>
    </w:p>
    <w:p w14:paraId="7E03AD8A" w14:textId="6AA5147B" w:rsidR="006F55FF" w:rsidRDefault="006F55FF" w:rsidP="006F55FF">
      <w:pPr>
        <w:pStyle w:val="Heading2"/>
      </w:pPr>
      <w:r>
        <w:t>UE parent selection</w:t>
      </w:r>
    </w:p>
    <w:p w14:paraId="44D3D97C" w14:textId="50ABFA52" w:rsidR="004B39D9" w:rsidRDefault="00791E31" w:rsidP="006F55FF">
      <w:r>
        <w:t>We</w:t>
      </w:r>
      <w:r w:rsidR="006F55FF">
        <w:t xml:space="preserve"> study UE parent selection using a Monte Carlo simulation. </w:t>
      </w:r>
      <w:r w:rsidR="004B39D9">
        <w:t xml:space="preserve">The simulation consists of 1 IAB donor and 9 IAB nodes that are randomly dropped. UEs are dropped randomly and are initially associated with the IAB donor. The IAB nodes are activated (representing the IAB DU setup phase completion) </w:t>
      </w:r>
      <w:r w:rsidR="006F55FF">
        <w:t xml:space="preserve">according to the “ideal” sequence described </w:t>
      </w:r>
      <w:r w:rsidR="004F73AC">
        <w:t xml:space="preserve">in </w:t>
      </w:r>
      <w:r w:rsidR="004F73AC">
        <w:fldChar w:fldCharType="begin"/>
      </w:r>
      <w:r w:rsidR="004F73AC">
        <w:instrText xml:space="preserve"> REF _Ref23773391 \r \h </w:instrText>
      </w:r>
      <w:r w:rsidR="004F73AC">
        <w:fldChar w:fldCharType="separate"/>
      </w:r>
      <w:r w:rsidR="004F73AC">
        <w:t>[2]</w:t>
      </w:r>
      <w:r w:rsidR="004F73AC">
        <w:fldChar w:fldCharType="end"/>
      </w:r>
      <w:r w:rsidR="004F73AC">
        <w:t xml:space="preserve"> (which essentially consists of activating nodes that have the best RSRP to a candidate parent that is already integrated into the network)</w:t>
      </w:r>
      <w:r w:rsidR="004B39D9">
        <w:t xml:space="preserve">. </w:t>
      </w:r>
      <w:r w:rsidR="6AA30749">
        <w:t>Further simulation assumptions are in the Appendix.</w:t>
      </w:r>
    </w:p>
    <w:p w14:paraId="24D5B215" w14:textId="5367F2B8" w:rsidR="00060AC7" w:rsidRDefault="004B39D9" w:rsidP="0078427C">
      <w:r>
        <w:t>Once an IAB node is activated, UE</w:t>
      </w:r>
      <w:r w:rsidR="00835306">
        <w:t xml:space="preserve">s </w:t>
      </w:r>
      <w:proofErr w:type="gramStart"/>
      <w:r w:rsidR="00835306">
        <w:t>are able to</w:t>
      </w:r>
      <w:proofErr w:type="gramEnd"/>
      <w:r w:rsidR="00835306">
        <w:t xml:space="preserve"> attach to it. If the UE measures a better RSRP to the newly activated node than to the IAB donor, it switches its parent </w:t>
      </w:r>
      <w:r w:rsidR="006F55FF">
        <w:t xml:space="preserve">from the IAB donor </w:t>
      </w:r>
      <w:r w:rsidR="00835306">
        <w:t>to the newly activated IAB node (either through a cell reselection if the UE is in idle mode or through a network</w:t>
      </w:r>
      <w:bookmarkStart w:id="1" w:name="_GoBack"/>
      <w:r w:rsidR="004E1F83">
        <w:t>-</w:t>
      </w:r>
      <w:bookmarkEnd w:id="1"/>
      <w:r w:rsidR="00835306">
        <w:t>controlled handover if the UE is in connected mode).</w:t>
      </w:r>
      <w:r w:rsidR="006F55FF">
        <w:t xml:space="preserve"> </w:t>
      </w:r>
      <w:r w:rsidR="004F73AC">
        <w:fldChar w:fldCharType="begin"/>
      </w:r>
      <w:r w:rsidR="004F73AC">
        <w:instrText xml:space="preserve"> REF _Ref23860383 \h </w:instrText>
      </w:r>
      <w:r w:rsidR="004F73AC">
        <w:fldChar w:fldCharType="separate"/>
      </w:r>
      <w:r w:rsidR="004F73AC">
        <w:t xml:space="preserve">Figure </w:t>
      </w:r>
      <w:r w:rsidR="004F73AC">
        <w:rPr>
          <w:noProof/>
        </w:rPr>
        <w:t>2</w:t>
      </w:r>
      <w:r w:rsidR="004F73AC">
        <w:fldChar w:fldCharType="end"/>
      </w:r>
      <w:r w:rsidR="00E91ACB">
        <w:fldChar w:fldCharType="begin"/>
      </w:r>
      <w:r w:rsidR="00E91ACB">
        <w:instrText xml:space="preserve"> REF _Ref19821639 \h </w:instrText>
      </w:r>
      <w:r w:rsidR="00E91ACB">
        <w:fldChar w:fldCharType="end"/>
      </w:r>
      <w:r w:rsidR="00E91ACB">
        <w:t xml:space="preserve"> and </w:t>
      </w:r>
      <w:r w:rsidR="004F73AC">
        <w:fldChar w:fldCharType="begin"/>
      </w:r>
      <w:r w:rsidR="004F73AC">
        <w:instrText xml:space="preserve"> REF _Ref23860393 \h </w:instrText>
      </w:r>
      <w:r w:rsidR="004F73AC">
        <w:fldChar w:fldCharType="separate"/>
      </w:r>
      <w:r w:rsidR="004F73AC">
        <w:t xml:space="preserve">Figure </w:t>
      </w:r>
      <w:r w:rsidR="004F73AC">
        <w:rPr>
          <w:noProof/>
        </w:rPr>
        <w:t>3</w:t>
      </w:r>
      <w:r w:rsidR="004F73AC">
        <w:fldChar w:fldCharType="end"/>
      </w:r>
      <w:r w:rsidR="00E91ACB">
        <w:fldChar w:fldCharType="begin"/>
      </w:r>
      <w:r w:rsidR="00E91ACB">
        <w:instrText xml:space="preserve"> REF _Ref19821643 \h </w:instrText>
      </w:r>
      <w:r w:rsidR="00E91ACB">
        <w:fldChar w:fldCharType="end"/>
      </w:r>
      <w:r w:rsidR="00E91ACB">
        <w:t xml:space="preserve"> show the distribution of the number of UEs attached to IAB nodes, with a total of 30 and 90 UEs respectively.</w:t>
      </w:r>
      <w:r w:rsidR="00FA3945">
        <w:t xml:space="preserve"> </w:t>
      </w:r>
      <w:r w:rsidR="002F26B6">
        <w:fldChar w:fldCharType="begin"/>
      </w:r>
      <w:r w:rsidR="002F26B6">
        <w:instrText xml:space="preserve"> REF _Ref19866654 \h </w:instrText>
      </w:r>
      <w:r w:rsidR="002F26B6">
        <w:fldChar w:fldCharType="separate"/>
      </w:r>
      <w:r w:rsidR="002F26B6">
        <w:t xml:space="preserve">Table </w:t>
      </w:r>
      <w:r w:rsidR="002F26B6">
        <w:rPr>
          <w:noProof/>
        </w:rPr>
        <w:t>1</w:t>
      </w:r>
      <w:r w:rsidR="002F26B6">
        <w:fldChar w:fldCharType="end"/>
      </w:r>
      <w:r w:rsidR="002F26B6">
        <w:t xml:space="preserve"> shows the mean and standard deviation of the number of UEs per IAB node and the number of UEs attached to the IAB donor.</w:t>
      </w:r>
      <w:r w:rsidR="00FA3945">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F55FF" w14:paraId="7A610E85" w14:textId="77777777" w:rsidTr="006F55FF">
        <w:tc>
          <w:tcPr>
            <w:tcW w:w="4675" w:type="dxa"/>
          </w:tcPr>
          <w:p w14:paraId="1099317E" w14:textId="77777777" w:rsidR="004F73AC" w:rsidRDefault="0078427C" w:rsidP="004F73AC">
            <w:pPr>
              <w:keepNext/>
              <w:jc w:val="center"/>
            </w:pPr>
            <w:r w:rsidRPr="0078427C">
              <w:rPr>
                <w:noProof/>
                <w:lang w:val="en-US"/>
              </w:rPr>
              <w:lastRenderedPageBreak/>
              <w:drawing>
                <wp:inline distT="0" distB="0" distL="0" distR="0" wp14:anchorId="66915DF6" wp14:editId="71CE89A5">
                  <wp:extent cx="2707209" cy="1876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16958" cy="1883182"/>
                          </a:xfrm>
                          <a:prstGeom prst="rect">
                            <a:avLst/>
                          </a:prstGeom>
                        </pic:spPr>
                      </pic:pic>
                    </a:graphicData>
                  </a:graphic>
                </wp:inline>
              </w:drawing>
            </w:r>
          </w:p>
          <w:p w14:paraId="708B1037" w14:textId="60FB1048" w:rsidR="00392411" w:rsidRDefault="004F73AC" w:rsidP="004E1F83">
            <w:pPr>
              <w:pStyle w:val="Caption"/>
              <w:jc w:val="center"/>
            </w:pPr>
            <w:bookmarkStart w:id="2" w:name="_Ref23860383"/>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sidRPr="003503FC">
              <w:t>Distribution of number of UEs per IAB node, with a total of 30 UEs</w:t>
            </w:r>
          </w:p>
          <w:p w14:paraId="3B49B211" w14:textId="7E912595" w:rsidR="006F55FF" w:rsidRPr="0078427C" w:rsidRDefault="006F55FF" w:rsidP="00A97F7D">
            <w:pPr>
              <w:pStyle w:val="Caption"/>
              <w:jc w:val="center"/>
            </w:pPr>
          </w:p>
        </w:tc>
        <w:tc>
          <w:tcPr>
            <w:tcW w:w="4675" w:type="dxa"/>
          </w:tcPr>
          <w:p w14:paraId="48CDC817" w14:textId="77777777" w:rsidR="004F73AC" w:rsidRDefault="0078427C" w:rsidP="004F73AC">
            <w:pPr>
              <w:keepNext/>
              <w:jc w:val="center"/>
            </w:pPr>
            <w:r w:rsidRPr="0078427C">
              <w:rPr>
                <w:noProof/>
                <w:lang w:val="en-US"/>
              </w:rPr>
              <w:drawing>
                <wp:inline distT="0" distB="0" distL="0" distR="0" wp14:anchorId="72A82910" wp14:editId="383C386F">
                  <wp:extent cx="2695575" cy="186836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12489" cy="1880085"/>
                          </a:xfrm>
                          <a:prstGeom prst="rect">
                            <a:avLst/>
                          </a:prstGeom>
                        </pic:spPr>
                      </pic:pic>
                    </a:graphicData>
                  </a:graphic>
                </wp:inline>
              </w:drawing>
            </w:r>
          </w:p>
          <w:p w14:paraId="3F825139" w14:textId="455C3060" w:rsidR="00392411" w:rsidRDefault="004F73AC" w:rsidP="004E1F83">
            <w:pPr>
              <w:pStyle w:val="Caption"/>
              <w:jc w:val="center"/>
            </w:pPr>
            <w:bookmarkStart w:id="3" w:name="_Ref23860393"/>
            <w:r>
              <w:t xml:space="preserve">Figure </w:t>
            </w:r>
            <w:r>
              <w:fldChar w:fldCharType="begin"/>
            </w:r>
            <w:r>
              <w:instrText xml:space="preserve"> SEQ Figure \* ARABIC </w:instrText>
            </w:r>
            <w:r>
              <w:fldChar w:fldCharType="separate"/>
            </w:r>
            <w:r>
              <w:rPr>
                <w:noProof/>
              </w:rPr>
              <w:t>3</w:t>
            </w:r>
            <w:r>
              <w:fldChar w:fldCharType="end"/>
            </w:r>
            <w:bookmarkEnd w:id="3"/>
            <w:r>
              <w:t xml:space="preserve">: </w:t>
            </w:r>
            <w:r w:rsidRPr="003958C4">
              <w:t>Distribution of number of UEs per IAB node, with a total of 90 UEs</w:t>
            </w:r>
          </w:p>
          <w:p w14:paraId="154104C7" w14:textId="63F64E0E" w:rsidR="006F55FF" w:rsidRPr="0078427C" w:rsidRDefault="006F55FF" w:rsidP="00A97F7D">
            <w:pPr>
              <w:pStyle w:val="Caption"/>
              <w:jc w:val="center"/>
            </w:pPr>
          </w:p>
        </w:tc>
      </w:tr>
    </w:tbl>
    <w:p w14:paraId="0D36459F" w14:textId="2D473707" w:rsidR="002F26B6" w:rsidRDefault="002F26B6" w:rsidP="002F26B6">
      <w:pPr>
        <w:pStyle w:val="Caption"/>
        <w:keepNext/>
      </w:pPr>
      <w:bookmarkStart w:id="4" w:name="_Ref19866654"/>
      <w:r>
        <w:t xml:space="preserve">Table </w:t>
      </w:r>
      <w:r>
        <w:fldChar w:fldCharType="begin"/>
      </w:r>
      <w:r>
        <w:instrText xml:space="preserve"> SEQ Table \* ARABIC </w:instrText>
      </w:r>
      <w:r>
        <w:fldChar w:fldCharType="separate"/>
      </w:r>
      <w:r w:rsidR="00741A64">
        <w:rPr>
          <w:noProof/>
        </w:rPr>
        <w:t>1</w:t>
      </w:r>
      <w:r>
        <w:fldChar w:fldCharType="end"/>
      </w:r>
      <w:bookmarkEnd w:id="4"/>
      <w:r>
        <w:t>: Details of distribution of number of UEs (UEs allowed to select parents once IAB node is integrated)</w:t>
      </w:r>
    </w:p>
    <w:tbl>
      <w:tblPr>
        <w:tblStyle w:val="TableGrid"/>
        <w:tblW w:w="0" w:type="auto"/>
        <w:tblLook w:val="04A0" w:firstRow="1" w:lastRow="0" w:firstColumn="1" w:lastColumn="0" w:noHBand="0" w:noVBand="1"/>
      </w:tblPr>
      <w:tblGrid>
        <w:gridCol w:w="2065"/>
        <w:gridCol w:w="1675"/>
        <w:gridCol w:w="2015"/>
        <w:gridCol w:w="1725"/>
        <w:gridCol w:w="1870"/>
      </w:tblGrid>
      <w:tr w:rsidR="002F26B6" w14:paraId="067FFA60" w14:textId="77777777" w:rsidTr="002F26B6">
        <w:tc>
          <w:tcPr>
            <w:tcW w:w="2065" w:type="dxa"/>
          </w:tcPr>
          <w:p w14:paraId="0F5F8BD4" w14:textId="3C647235" w:rsidR="002F26B6" w:rsidRDefault="002F26B6" w:rsidP="007A0008"/>
        </w:tc>
        <w:tc>
          <w:tcPr>
            <w:tcW w:w="3690" w:type="dxa"/>
            <w:gridSpan w:val="2"/>
          </w:tcPr>
          <w:p w14:paraId="65166A4E" w14:textId="51E190D5" w:rsidR="002F26B6" w:rsidRDefault="002F26B6" w:rsidP="002F26B6">
            <w:r>
              <w:t>Number of UEs per IAB node</w:t>
            </w:r>
          </w:p>
        </w:tc>
        <w:tc>
          <w:tcPr>
            <w:tcW w:w="3595" w:type="dxa"/>
            <w:gridSpan w:val="2"/>
          </w:tcPr>
          <w:p w14:paraId="1B7F878D" w14:textId="6D32C1AA" w:rsidR="002F26B6" w:rsidRDefault="002F26B6" w:rsidP="002F26B6">
            <w:r>
              <w:t>Number of UEs attached to IAB donor</w:t>
            </w:r>
          </w:p>
        </w:tc>
      </w:tr>
      <w:tr w:rsidR="002F26B6" w14:paraId="3C37D7EB" w14:textId="77777777" w:rsidTr="002F26B6">
        <w:tc>
          <w:tcPr>
            <w:tcW w:w="2065" w:type="dxa"/>
          </w:tcPr>
          <w:p w14:paraId="76B4F9A8" w14:textId="3C58F965" w:rsidR="002F26B6" w:rsidRDefault="002F26B6" w:rsidP="007A0008">
            <w:r>
              <w:t>Total number of UEs</w:t>
            </w:r>
          </w:p>
        </w:tc>
        <w:tc>
          <w:tcPr>
            <w:tcW w:w="1675" w:type="dxa"/>
          </w:tcPr>
          <w:p w14:paraId="17DA987F" w14:textId="4F3C78EA" w:rsidR="002F26B6" w:rsidRDefault="002F26B6" w:rsidP="007A0008">
            <w:r>
              <w:t>Mean</w:t>
            </w:r>
          </w:p>
        </w:tc>
        <w:tc>
          <w:tcPr>
            <w:tcW w:w="2015" w:type="dxa"/>
          </w:tcPr>
          <w:p w14:paraId="3818FA5B" w14:textId="3FEFCD0C" w:rsidR="002F26B6" w:rsidRDefault="002F26B6" w:rsidP="007A0008">
            <w:r>
              <w:t>Std. Deviation</w:t>
            </w:r>
          </w:p>
        </w:tc>
        <w:tc>
          <w:tcPr>
            <w:tcW w:w="1725" w:type="dxa"/>
          </w:tcPr>
          <w:p w14:paraId="31495412" w14:textId="1B4A614B" w:rsidR="002F26B6" w:rsidRDefault="002F26B6" w:rsidP="007A0008">
            <w:r>
              <w:t>Mean</w:t>
            </w:r>
          </w:p>
        </w:tc>
        <w:tc>
          <w:tcPr>
            <w:tcW w:w="1870" w:type="dxa"/>
          </w:tcPr>
          <w:p w14:paraId="652AF64D" w14:textId="5B20B5C7" w:rsidR="002F26B6" w:rsidRDefault="002F26B6" w:rsidP="007A0008">
            <w:r>
              <w:t>Std. Deviation</w:t>
            </w:r>
          </w:p>
        </w:tc>
      </w:tr>
      <w:tr w:rsidR="002F26B6" w14:paraId="20B76333" w14:textId="77777777" w:rsidTr="002F26B6">
        <w:tc>
          <w:tcPr>
            <w:tcW w:w="2065" w:type="dxa"/>
          </w:tcPr>
          <w:p w14:paraId="45631415" w14:textId="747E1EE9" w:rsidR="002F26B6" w:rsidRDefault="002F26B6" w:rsidP="007A0008">
            <w:r>
              <w:t>30</w:t>
            </w:r>
          </w:p>
        </w:tc>
        <w:tc>
          <w:tcPr>
            <w:tcW w:w="1675" w:type="dxa"/>
          </w:tcPr>
          <w:p w14:paraId="05064EF0" w14:textId="248B549F" w:rsidR="002F26B6" w:rsidRDefault="002F26B6" w:rsidP="007A0008">
            <w:r>
              <w:t>1.88</w:t>
            </w:r>
          </w:p>
        </w:tc>
        <w:tc>
          <w:tcPr>
            <w:tcW w:w="2015" w:type="dxa"/>
          </w:tcPr>
          <w:p w14:paraId="5E0EF07A" w14:textId="5328C244" w:rsidR="002F26B6" w:rsidRDefault="002F26B6" w:rsidP="007A0008">
            <w:r>
              <w:t>1.58</w:t>
            </w:r>
          </w:p>
        </w:tc>
        <w:tc>
          <w:tcPr>
            <w:tcW w:w="1725" w:type="dxa"/>
          </w:tcPr>
          <w:p w14:paraId="7E2C675C" w14:textId="3E638766" w:rsidR="002F26B6" w:rsidRDefault="002F26B6" w:rsidP="007A0008">
            <w:r>
              <w:t>13.08</w:t>
            </w:r>
          </w:p>
        </w:tc>
        <w:tc>
          <w:tcPr>
            <w:tcW w:w="1870" w:type="dxa"/>
          </w:tcPr>
          <w:p w14:paraId="08863BF9" w14:textId="0B4E3013" w:rsidR="002F26B6" w:rsidRDefault="002F26B6" w:rsidP="007A0008">
            <w:r>
              <w:t>3.66</w:t>
            </w:r>
          </w:p>
        </w:tc>
      </w:tr>
      <w:tr w:rsidR="002F26B6" w14:paraId="3B3E1747" w14:textId="77777777" w:rsidTr="002F26B6">
        <w:tc>
          <w:tcPr>
            <w:tcW w:w="2065" w:type="dxa"/>
          </w:tcPr>
          <w:p w14:paraId="63B4945D" w14:textId="580FCAFE" w:rsidR="002F26B6" w:rsidRDefault="002F26B6" w:rsidP="007A0008">
            <w:r>
              <w:t>90</w:t>
            </w:r>
          </w:p>
        </w:tc>
        <w:tc>
          <w:tcPr>
            <w:tcW w:w="1675" w:type="dxa"/>
          </w:tcPr>
          <w:p w14:paraId="21ACA262" w14:textId="1203F5F9" w:rsidR="002F26B6" w:rsidRDefault="002F26B6" w:rsidP="007A0008">
            <w:r>
              <w:t>5.65</w:t>
            </w:r>
          </w:p>
        </w:tc>
        <w:tc>
          <w:tcPr>
            <w:tcW w:w="2015" w:type="dxa"/>
          </w:tcPr>
          <w:p w14:paraId="76DE40F8" w14:textId="44571BAB" w:rsidR="002F26B6" w:rsidRDefault="002F26B6" w:rsidP="007A0008">
            <w:r>
              <w:t>3.61</w:t>
            </w:r>
          </w:p>
        </w:tc>
        <w:tc>
          <w:tcPr>
            <w:tcW w:w="1725" w:type="dxa"/>
          </w:tcPr>
          <w:p w14:paraId="476F7336" w14:textId="4C188428" w:rsidR="002F26B6" w:rsidRDefault="002F26B6" w:rsidP="007A0008">
            <w:r>
              <w:t>39.14</w:t>
            </w:r>
          </w:p>
        </w:tc>
        <w:tc>
          <w:tcPr>
            <w:tcW w:w="1870" w:type="dxa"/>
          </w:tcPr>
          <w:p w14:paraId="19A3C80B" w14:textId="13779603" w:rsidR="002F26B6" w:rsidRDefault="002F26B6" w:rsidP="007A0008">
            <w:r>
              <w:t>7.82</w:t>
            </w:r>
          </w:p>
        </w:tc>
      </w:tr>
    </w:tbl>
    <w:p w14:paraId="14B4ADE7" w14:textId="77777777" w:rsidR="002F26B6" w:rsidRDefault="002F26B6" w:rsidP="002F26B6"/>
    <w:p w14:paraId="4983F29E" w14:textId="74F6A56B" w:rsidR="00A762BA" w:rsidRPr="002F26B6" w:rsidRDefault="002F26B6" w:rsidP="007A0008">
      <w:r>
        <w:t>Clearly the distribution of UEs is very uneven. Some of the uneven distribution of UEs is due to the difference in transmit powers of the IAB donor and the IAB nodes. However, the large proportion of IAB nodes with no UEs or a very small number of UEs indicates significant inefficiencies.</w:t>
      </w:r>
    </w:p>
    <w:p w14:paraId="4917BAFB" w14:textId="089DF587" w:rsidR="006C7DE6" w:rsidRDefault="002F26B6" w:rsidP="0078427C">
      <w:r>
        <w:t xml:space="preserve">We compare the above results to a scheme where the UEs do not perform parent selection until all the IAB nodes are integrated into the network. </w:t>
      </w:r>
      <w:r w:rsidR="004F73AC">
        <w:fldChar w:fldCharType="begin"/>
      </w:r>
      <w:r w:rsidR="004F73AC">
        <w:instrText xml:space="preserve"> REF _Ref23860494 \h </w:instrText>
      </w:r>
      <w:r w:rsidR="004F73AC">
        <w:fldChar w:fldCharType="separate"/>
      </w:r>
      <w:r w:rsidR="004F73AC">
        <w:t xml:space="preserve">Figure </w:t>
      </w:r>
      <w:r w:rsidR="004F73AC">
        <w:rPr>
          <w:noProof/>
        </w:rPr>
        <w:t>4</w:t>
      </w:r>
      <w:r w:rsidR="004F73AC">
        <w:fldChar w:fldCharType="end"/>
      </w:r>
      <w:r w:rsidR="00CC2306">
        <w:fldChar w:fldCharType="begin"/>
      </w:r>
      <w:r w:rsidR="00CC2306">
        <w:instrText xml:space="preserve"> REF _Ref19822648 \h </w:instrText>
      </w:r>
      <w:r w:rsidR="00CC2306">
        <w:fldChar w:fldCharType="end"/>
      </w:r>
      <w:r w:rsidR="00CC2306">
        <w:t xml:space="preserve"> and </w:t>
      </w:r>
      <w:r w:rsidR="004F73AC">
        <w:fldChar w:fldCharType="begin"/>
      </w:r>
      <w:r w:rsidR="004F73AC">
        <w:instrText xml:space="preserve"> REF _Ref23860502 \h </w:instrText>
      </w:r>
      <w:r w:rsidR="004F73AC">
        <w:fldChar w:fldCharType="separate"/>
      </w:r>
      <w:r w:rsidR="004F73AC">
        <w:t xml:space="preserve">Figure </w:t>
      </w:r>
      <w:r w:rsidR="004F73AC">
        <w:rPr>
          <w:noProof/>
        </w:rPr>
        <w:t>5</w:t>
      </w:r>
      <w:r w:rsidR="004F73AC">
        <w:fldChar w:fldCharType="end"/>
      </w:r>
      <w:r w:rsidR="00CC2306">
        <w:fldChar w:fldCharType="begin"/>
      </w:r>
      <w:r w:rsidR="00CC2306">
        <w:instrText xml:space="preserve"> REF _Ref19822650 \h </w:instrText>
      </w:r>
      <w:r w:rsidR="00CC2306">
        <w:fldChar w:fldCharType="end"/>
      </w:r>
      <w:r w:rsidR="00CC2306">
        <w:t xml:space="preserve"> show the distribution of </w:t>
      </w:r>
      <w:r w:rsidR="001224AE">
        <w:t xml:space="preserve">number of UEs per IAB node </w:t>
      </w:r>
      <w:r w:rsidR="001224AE" w:rsidRPr="00091516">
        <w:rPr>
          <w:i/>
        </w:rPr>
        <w:t>if the UEs perform parent selection only after all IAB nodes are activated</w:t>
      </w:r>
      <w:r w:rsidR="001224AE">
        <w:t xml:space="preserve">. </w:t>
      </w:r>
      <w:r>
        <w:fldChar w:fldCharType="begin"/>
      </w:r>
      <w:r>
        <w:instrText xml:space="preserve"> REF _Ref19867223 \h </w:instrText>
      </w:r>
      <w:r>
        <w:fldChar w:fldCharType="separate"/>
      </w:r>
      <w:r>
        <w:t xml:space="preserve">Table </w:t>
      </w:r>
      <w:r>
        <w:rPr>
          <w:noProof/>
        </w:rPr>
        <w:t>2</w:t>
      </w:r>
      <w:r>
        <w:fldChar w:fldCharType="end"/>
      </w:r>
      <w:r w:rsidRPr="002F26B6">
        <w:t xml:space="preserve"> </w:t>
      </w:r>
      <w:r>
        <w:t>shows the mean and standard deviation of the number of UEs per IAB node and the number of UEs attached to the IAB donor for the same.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702"/>
      </w:tblGrid>
      <w:tr w:rsidR="00CC2306" w14:paraId="160F5E66" w14:textId="77777777" w:rsidTr="002F26B6">
        <w:trPr>
          <w:trHeight w:val="2619"/>
          <w:jc w:val="center"/>
        </w:trPr>
        <w:tc>
          <w:tcPr>
            <w:tcW w:w="4663" w:type="dxa"/>
          </w:tcPr>
          <w:p w14:paraId="0DCA1E55" w14:textId="77777777" w:rsidR="004F73AC" w:rsidRDefault="0078427C" w:rsidP="004F73AC">
            <w:pPr>
              <w:keepNext/>
              <w:jc w:val="center"/>
            </w:pPr>
            <w:r>
              <w:rPr>
                <w:noProof/>
                <w:lang w:val="en-US"/>
              </w:rPr>
              <w:lastRenderedPageBreak/>
              <w:drawing>
                <wp:inline distT="0" distB="0" distL="0" distR="0" wp14:anchorId="6E7B1B9F" wp14:editId="03DF993A">
                  <wp:extent cx="2847975" cy="1973993"/>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58290" cy="1981142"/>
                          </a:xfrm>
                          <a:prstGeom prst="rect">
                            <a:avLst/>
                          </a:prstGeom>
                        </pic:spPr>
                      </pic:pic>
                    </a:graphicData>
                  </a:graphic>
                </wp:inline>
              </w:drawing>
            </w:r>
          </w:p>
          <w:p w14:paraId="7D8437BA" w14:textId="5B5FC196" w:rsidR="00392411" w:rsidRDefault="004F73AC" w:rsidP="004E1F83">
            <w:pPr>
              <w:pStyle w:val="Caption"/>
              <w:jc w:val="center"/>
            </w:pPr>
            <w:bookmarkStart w:id="5" w:name="_Ref23860494"/>
            <w:r>
              <w:t xml:space="preserve">Figure </w:t>
            </w:r>
            <w:r>
              <w:fldChar w:fldCharType="begin"/>
            </w:r>
            <w:r>
              <w:instrText xml:space="preserve"> SEQ Figure \* ARABIC </w:instrText>
            </w:r>
            <w:r>
              <w:fldChar w:fldCharType="separate"/>
            </w:r>
            <w:r>
              <w:rPr>
                <w:noProof/>
              </w:rPr>
              <w:t>4</w:t>
            </w:r>
            <w:r>
              <w:fldChar w:fldCharType="end"/>
            </w:r>
            <w:bookmarkEnd w:id="5"/>
            <w:r>
              <w:t xml:space="preserve">: </w:t>
            </w:r>
            <w:r w:rsidRPr="004A78A6">
              <w:t>Distribution of number of UEs per IAB node with delayed parent selection (total of 30 UEs)</w:t>
            </w:r>
          </w:p>
          <w:p w14:paraId="04117FDA" w14:textId="44BE62B6" w:rsidR="00CC2306" w:rsidRDefault="00CC2306" w:rsidP="00A97F7D">
            <w:pPr>
              <w:pStyle w:val="Caption"/>
              <w:jc w:val="center"/>
            </w:pPr>
          </w:p>
        </w:tc>
        <w:tc>
          <w:tcPr>
            <w:tcW w:w="4697" w:type="dxa"/>
          </w:tcPr>
          <w:p w14:paraId="616A684E" w14:textId="77777777" w:rsidR="004F73AC" w:rsidRDefault="0078427C" w:rsidP="004F73AC">
            <w:pPr>
              <w:keepNext/>
              <w:jc w:val="center"/>
            </w:pPr>
            <w:r>
              <w:rPr>
                <w:noProof/>
                <w:lang w:val="en-US"/>
              </w:rPr>
              <w:drawing>
                <wp:inline distT="0" distB="0" distL="0" distR="0" wp14:anchorId="163494C4" wp14:editId="7A3BEEBA">
                  <wp:extent cx="2872115" cy="1990725"/>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01646" cy="2011194"/>
                          </a:xfrm>
                          <a:prstGeom prst="rect">
                            <a:avLst/>
                          </a:prstGeom>
                        </pic:spPr>
                      </pic:pic>
                    </a:graphicData>
                  </a:graphic>
                </wp:inline>
              </w:drawing>
            </w:r>
          </w:p>
          <w:p w14:paraId="0297D91E" w14:textId="310BD736" w:rsidR="00392411" w:rsidRDefault="004F73AC" w:rsidP="004E1F83">
            <w:pPr>
              <w:pStyle w:val="Caption"/>
              <w:jc w:val="center"/>
            </w:pPr>
            <w:bookmarkStart w:id="6" w:name="_Ref23860502"/>
            <w:r>
              <w:t xml:space="preserve">Figure </w:t>
            </w:r>
            <w:r>
              <w:fldChar w:fldCharType="begin"/>
            </w:r>
            <w:r>
              <w:instrText xml:space="preserve"> SEQ Figure \* ARABIC </w:instrText>
            </w:r>
            <w:r>
              <w:fldChar w:fldCharType="separate"/>
            </w:r>
            <w:r>
              <w:rPr>
                <w:noProof/>
              </w:rPr>
              <w:t>5</w:t>
            </w:r>
            <w:r>
              <w:fldChar w:fldCharType="end"/>
            </w:r>
            <w:bookmarkEnd w:id="6"/>
            <w:r>
              <w:t xml:space="preserve">: </w:t>
            </w:r>
            <w:r w:rsidRPr="00FE1538">
              <w:t>Distribution of number of UEs per IAB node with delayed parent selection (total of 90 UEs)</w:t>
            </w:r>
          </w:p>
          <w:p w14:paraId="2E628EDC" w14:textId="3A5724F9" w:rsidR="002F26B6" w:rsidRPr="002F26B6" w:rsidRDefault="002F26B6" w:rsidP="003942DF">
            <w:pPr>
              <w:pStyle w:val="Caption"/>
              <w:jc w:val="center"/>
            </w:pPr>
          </w:p>
        </w:tc>
      </w:tr>
    </w:tbl>
    <w:p w14:paraId="421DDD47" w14:textId="6857A334" w:rsidR="002F26B6" w:rsidRDefault="002F26B6" w:rsidP="002F26B6">
      <w:pPr>
        <w:pStyle w:val="Caption"/>
        <w:keepNext/>
      </w:pPr>
      <w:bookmarkStart w:id="7" w:name="_Ref19867223"/>
      <w:r>
        <w:t xml:space="preserve">Table </w:t>
      </w:r>
      <w:r>
        <w:fldChar w:fldCharType="begin"/>
      </w:r>
      <w:r>
        <w:instrText xml:space="preserve"> SEQ Table \* ARABIC </w:instrText>
      </w:r>
      <w:r>
        <w:fldChar w:fldCharType="separate"/>
      </w:r>
      <w:r w:rsidR="00741A64">
        <w:rPr>
          <w:noProof/>
        </w:rPr>
        <w:t>2</w:t>
      </w:r>
      <w:r>
        <w:fldChar w:fldCharType="end"/>
      </w:r>
      <w:bookmarkEnd w:id="7"/>
      <w:r>
        <w:t>: Details of distribution of number of UEs (UE parent selection delayed until all IAB nodes integrated)</w:t>
      </w:r>
    </w:p>
    <w:tbl>
      <w:tblPr>
        <w:tblStyle w:val="TableGrid"/>
        <w:tblW w:w="0" w:type="auto"/>
        <w:tblLook w:val="04A0" w:firstRow="1" w:lastRow="0" w:firstColumn="1" w:lastColumn="0" w:noHBand="0" w:noVBand="1"/>
      </w:tblPr>
      <w:tblGrid>
        <w:gridCol w:w="2065"/>
        <w:gridCol w:w="1675"/>
        <w:gridCol w:w="2015"/>
        <w:gridCol w:w="1725"/>
        <w:gridCol w:w="1870"/>
      </w:tblGrid>
      <w:tr w:rsidR="002F26B6" w14:paraId="14940CE0" w14:textId="77777777" w:rsidTr="002F26B6">
        <w:tc>
          <w:tcPr>
            <w:tcW w:w="2065" w:type="dxa"/>
          </w:tcPr>
          <w:p w14:paraId="2EFA4ED8" w14:textId="77777777" w:rsidR="002F26B6" w:rsidRDefault="002F26B6" w:rsidP="00552B50"/>
        </w:tc>
        <w:tc>
          <w:tcPr>
            <w:tcW w:w="3690" w:type="dxa"/>
            <w:gridSpan w:val="2"/>
          </w:tcPr>
          <w:p w14:paraId="53AF70DC" w14:textId="48708EDF" w:rsidR="002F26B6" w:rsidRDefault="002F26B6" w:rsidP="002F26B6">
            <w:r>
              <w:t>Number of UEs per IAB node</w:t>
            </w:r>
          </w:p>
        </w:tc>
        <w:tc>
          <w:tcPr>
            <w:tcW w:w="3595" w:type="dxa"/>
            <w:gridSpan w:val="2"/>
          </w:tcPr>
          <w:p w14:paraId="0C899133" w14:textId="77777777" w:rsidR="002F26B6" w:rsidRDefault="002F26B6" w:rsidP="00552B50">
            <w:r>
              <w:t>Number of UEs attached to IAB donor</w:t>
            </w:r>
          </w:p>
        </w:tc>
      </w:tr>
      <w:tr w:rsidR="002F26B6" w14:paraId="536025A3" w14:textId="77777777" w:rsidTr="002F26B6">
        <w:tc>
          <w:tcPr>
            <w:tcW w:w="2065" w:type="dxa"/>
          </w:tcPr>
          <w:p w14:paraId="0EBE9B76" w14:textId="77777777" w:rsidR="002F26B6" w:rsidRDefault="002F26B6" w:rsidP="00552B50">
            <w:r>
              <w:t>Total number of UEs</w:t>
            </w:r>
          </w:p>
        </w:tc>
        <w:tc>
          <w:tcPr>
            <w:tcW w:w="1675" w:type="dxa"/>
          </w:tcPr>
          <w:p w14:paraId="415EA62E" w14:textId="77777777" w:rsidR="002F26B6" w:rsidRDefault="002F26B6" w:rsidP="00552B50">
            <w:r>
              <w:t>Mean</w:t>
            </w:r>
          </w:p>
        </w:tc>
        <w:tc>
          <w:tcPr>
            <w:tcW w:w="2015" w:type="dxa"/>
          </w:tcPr>
          <w:p w14:paraId="671A01E8" w14:textId="77777777" w:rsidR="002F26B6" w:rsidRDefault="002F26B6" w:rsidP="00552B50">
            <w:r>
              <w:t>Std. Deviation</w:t>
            </w:r>
          </w:p>
        </w:tc>
        <w:tc>
          <w:tcPr>
            <w:tcW w:w="1725" w:type="dxa"/>
          </w:tcPr>
          <w:p w14:paraId="6BC82142" w14:textId="77777777" w:rsidR="002F26B6" w:rsidRDefault="002F26B6" w:rsidP="00552B50">
            <w:r>
              <w:t>Mean</w:t>
            </w:r>
          </w:p>
        </w:tc>
        <w:tc>
          <w:tcPr>
            <w:tcW w:w="1870" w:type="dxa"/>
          </w:tcPr>
          <w:p w14:paraId="77B0C41B" w14:textId="77777777" w:rsidR="002F26B6" w:rsidRDefault="002F26B6" w:rsidP="00552B50">
            <w:r>
              <w:t>Std. Deviation</w:t>
            </w:r>
          </w:p>
        </w:tc>
      </w:tr>
      <w:tr w:rsidR="002F26B6" w14:paraId="35A8C514" w14:textId="77777777" w:rsidTr="002F26B6">
        <w:tc>
          <w:tcPr>
            <w:tcW w:w="2065" w:type="dxa"/>
          </w:tcPr>
          <w:p w14:paraId="2A90B25C" w14:textId="77777777" w:rsidR="002F26B6" w:rsidRDefault="002F26B6" w:rsidP="00552B50">
            <w:r>
              <w:t>30</w:t>
            </w:r>
          </w:p>
        </w:tc>
        <w:tc>
          <w:tcPr>
            <w:tcW w:w="1675" w:type="dxa"/>
          </w:tcPr>
          <w:p w14:paraId="0C174C97" w14:textId="0DE6C33E" w:rsidR="002F26B6" w:rsidRDefault="002F26B6" w:rsidP="00552B50">
            <w:r>
              <w:t>2.29</w:t>
            </w:r>
          </w:p>
        </w:tc>
        <w:tc>
          <w:tcPr>
            <w:tcW w:w="2015" w:type="dxa"/>
          </w:tcPr>
          <w:p w14:paraId="74E1F62C" w14:textId="55AB1EE5" w:rsidR="002F26B6" w:rsidRDefault="002F26B6" w:rsidP="00552B50">
            <w:r>
              <w:t>1.50</w:t>
            </w:r>
          </w:p>
        </w:tc>
        <w:tc>
          <w:tcPr>
            <w:tcW w:w="1725" w:type="dxa"/>
          </w:tcPr>
          <w:p w14:paraId="1BADF477" w14:textId="06B69819" w:rsidR="002F26B6" w:rsidRDefault="002F26B6" w:rsidP="00552B50">
            <w:r>
              <w:t>9.37</w:t>
            </w:r>
          </w:p>
        </w:tc>
        <w:tc>
          <w:tcPr>
            <w:tcW w:w="1870" w:type="dxa"/>
          </w:tcPr>
          <w:p w14:paraId="7B884415" w14:textId="1240EF64" w:rsidR="002F26B6" w:rsidRDefault="002F26B6" w:rsidP="00552B50">
            <w:r>
              <w:t>2.98</w:t>
            </w:r>
          </w:p>
        </w:tc>
      </w:tr>
      <w:tr w:rsidR="002F26B6" w14:paraId="539562F7" w14:textId="77777777" w:rsidTr="002F26B6">
        <w:tc>
          <w:tcPr>
            <w:tcW w:w="2065" w:type="dxa"/>
          </w:tcPr>
          <w:p w14:paraId="269D5607" w14:textId="77777777" w:rsidR="002F26B6" w:rsidRDefault="002F26B6" w:rsidP="00552B50">
            <w:r>
              <w:t>90</w:t>
            </w:r>
          </w:p>
        </w:tc>
        <w:tc>
          <w:tcPr>
            <w:tcW w:w="1675" w:type="dxa"/>
          </w:tcPr>
          <w:p w14:paraId="7CFA0223" w14:textId="6C94CBA9" w:rsidR="002F26B6" w:rsidRDefault="002F26B6" w:rsidP="00552B50">
            <w:r>
              <w:t>6.85</w:t>
            </w:r>
          </w:p>
        </w:tc>
        <w:tc>
          <w:tcPr>
            <w:tcW w:w="2015" w:type="dxa"/>
          </w:tcPr>
          <w:p w14:paraId="1E30F061" w14:textId="2F9B8289" w:rsidR="002F26B6" w:rsidRDefault="002F26B6" w:rsidP="00552B50">
            <w:r>
              <w:t>2.93</w:t>
            </w:r>
          </w:p>
        </w:tc>
        <w:tc>
          <w:tcPr>
            <w:tcW w:w="1725" w:type="dxa"/>
          </w:tcPr>
          <w:p w14:paraId="56826FDC" w14:textId="5DB72D34" w:rsidR="002F26B6" w:rsidRDefault="002F26B6" w:rsidP="00552B50">
            <w:r>
              <w:t>28.38</w:t>
            </w:r>
          </w:p>
        </w:tc>
        <w:tc>
          <w:tcPr>
            <w:tcW w:w="1870" w:type="dxa"/>
          </w:tcPr>
          <w:p w14:paraId="650A34B8" w14:textId="2C9E0B85" w:rsidR="002F26B6" w:rsidRDefault="002F26B6" w:rsidP="00552B50">
            <w:r>
              <w:t>5.41</w:t>
            </w:r>
          </w:p>
        </w:tc>
      </w:tr>
    </w:tbl>
    <w:p w14:paraId="369C8DD7" w14:textId="77777777" w:rsidR="002F26B6" w:rsidRDefault="002F26B6" w:rsidP="007A0008">
      <w:pPr>
        <w:rPr>
          <w:b/>
        </w:rPr>
      </w:pPr>
    </w:p>
    <w:p w14:paraId="552843CA" w14:textId="47E9A74A" w:rsidR="002F26B6" w:rsidRPr="002F26B6" w:rsidRDefault="002F26B6" w:rsidP="002F26B6">
      <w:r>
        <w:t xml:space="preserve">It is clear from the above data that delaying the UE parent selection until all the IAB nodes are integrated can significantly improve the distribution of UEs and the utilization of IAB nodes. If the UEs </w:t>
      </w:r>
      <w:proofErr w:type="gramStart"/>
      <w:r>
        <w:t>are able to</w:t>
      </w:r>
      <w:proofErr w:type="gramEnd"/>
      <w:r>
        <w:t xml:space="preserve"> select parents as soon as any IAB node is integrated into the network, </w:t>
      </w:r>
      <w:r w:rsidR="004F763F">
        <w:t>large numbers of handovers will be needed to achieve an efficient association of UEs to IAB nodes.</w:t>
      </w:r>
    </w:p>
    <w:p w14:paraId="6D78A255" w14:textId="2665281A" w:rsidR="002F26B6" w:rsidRPr="002F26B6" w:rsidRDefault="002F26B6" w:rsidP="002F26B6">
      <w:r w:rsidRPr="002F26B6">
        <w:rPr>
          <w:b/>
          <w:i/>
        </w:rPr>
        <w:t xml:space="preserve">Observation </w:t>
      </w:r>
      <w:r w:rsidR="004F73AC">
        <w:rPr>
          <w:b/>
          <w:i/>
        </w:rPr>
        <w:t>1</w:t>
      </w:r>
      <w:r w:rsidRPr="002F26B6">
        <w:rPr>
          <w:b/>
          <w:i/>
        </w:rPr>
        <w:t xml:space="preserve">: If UEs attach to IAB nodes before full IAB network setup, significant </w:t>
      </w:r>
      <w:r w:rsidR="004F763F">
        <w:rPr>
          <w:b/>
          <w:i/>
        </w:rPr>
        <w:t>re-attachments of UEs to IAB nodes (via handovers</w:t>
      </w:r>
      <w:r w:rsidR="005E12D9">
        <w:rPr>
          <w:b/>
          <w:i/>
        </w:rPr>
        <w:t xml:space="preserve"> and reselections</w:t>
      </w:r>
      <w:r w:rsidR="004F763F">
        <w:rPr>
          <w:b/>
          <w:i/>
        </w:rPr>
        <w:t>)</w:t>
      </w:r>
      <w:r w:rsidRPr="002F26B6">
        <w:rPr>
          <w:b/>
          <w:i/>
        </w:rPr>
        <w:t xml:space="preserve"> may be needed</w:t>
      </w:r>
      <w:r>
        <w:rPr>
          <w:b/>
          <w:i/>
        </w:rPr>
        <w:t>.</w:t>
      </w:r>
    </w:p>
    <w:p w14:paraId="6A6D205B" w14:textId="11C0457D" w:rsidR="007A0008" w:rsidRDefault="00091516" w:rsidP="007A0008">
      <w:pPr>
        <w:rPr>
          <w:b/>
          <w:i/>
        </w:rPr>
      </w:pPr>
      <w:r w:rsidRPr="00CD54C9">
        <w:rPr>
          <w:b/>
          <w:i/>
        </w:rPr>
        <w:t xml:space="preserve">Observation </w:t>
      </w:r>
      <w:r w:rsidR="004F73AC">
        <w:rPr>
          <w:b/>
          <w:i/>
        </w:rPr>
        <w:t>2</w:t>
      </w:r>
      <w:r w:rsidRPr="00CD54C9">
        <w:rPr>
          <w:b/>
          <w:i/>
        </w:rPr>
        <w:t xml:space="preserve">: Delaying </w:t>
      </w:r>
      <w:r w:rsidR="00D713C3" w:rsidRPr="00CD54C9">
        <w:rPr>
          <w:b/>
          <w:i/>
        </w:rPr>
        <w:t>UE parent selection until all IAB nodes are integrated into the network can significantly improve the distrib</w:t>
      </w:r>
      <w:r w:rsidR="00CD54C9">
        <w:rPr>
          <w:b/>
          <w:i/>
        </w:rPr>
        <w:t>ution of UEs across the network and reduce the need for handovers of UEs after the node integration procedure.</w:t>
      </w:r>
    </w:p>
    <w:p w14:paraId="6206439B" w14:textId="0E1319AD" w:rsidR="00CD54C9" w:rsidRDefault="004F763F" w:rsidP="007A0008">
      <w:r>
        <w:t xml:space="preserve">Based on the above, a mechanism to delay UE parent selection until all the IAB nodes are integrated is beneficial. This can be achieved by barring UEs from access at nodes that support IAB (IAB donor and IAB nodes) until all IAB nodes are integrated. Such barring would need to apply only to UEs and not to MTs of IAB nodes. It has already been agreed that IAB capable nodes </w:t>
      </w:r>
      <w:r w:rsidR="005C2A36">
        <w:t xml:space="preserve">(including IAB donors) </w:t>
      </w:r>
      <w:r>
        <w:t xml:space="preserve">explicitly </w:t>
      </w:r>
      <w:r w:rsidR="005C2A36">
        <w:t xml:space="preserve">indicate their support of IAB (this enables </w:t>
      </w:r>
      <w:r w:rsidR="0003289D">
        <w:t xml:space="preserve">IAB nodes to attach to nodes that support IAB). Such a barring mechanism would only apply to UEs (and not to IAB node MTs). </w:t>
      </w:r>
      <w:proofErr w:type="gramStart"/>
      <w:r w:rsidR="0003289D">
        <w:t>Thus</w:t>
      </w:r>
      <w:proofErr w:type="gramEnd"/>
      <w:r w:rsidR="0003289D">
        <w:t xml:space="preserve"> IAB node MTs would continue to attach to the network while UE attachment to IAB nodes is delayed until all IAB nodes are integrated into the network. </w:t>
      </w:r>
    </w:p>
    <w:p w14:paraId="2B886D5F" w14:textId="004A7CD2" w:rsidR="00D25BF2" w:rsidRDefault="004F763F" w:rsidP="003942DF">
      <w:r w:rsidRPr="00C644A4">
        <w:rPr>
          <w:b/>
          <w:bCs/>
          <w:i/>
          <w:iCs/>
        </w:rPr>
        <w:t>Proposal: UEs are barred from accessing IAB nodes until all IAB nodes are integrated into the network. IAB node MTs are not subject to such barring. Determination of when all IAB nodes are considered integrated into the network (i.e., when to remove the barring of UEs) is left to the network.</w:t>
      </w:r>
    </w:p>
    <w:p w14:paraId="0956B905" w14:textId="2870F002" w:rsidR="72A41187" w:rsidRDefault="72A41187">
      <w:r w:rsidRPr="5D861973">
        <w:lastRenderedPageBreak/>
        <w:t xml:space="preserve">This proposal essentially implies that </w:t>
      </w:r>
      <w:r w:rsidR="071A85F8" w:rsidRPr="5D861973">
        <w:t>I</w:t>
      </w:r>
      <w:r w:rsidR="5C1FCA97" w:rsidRPr="5D861973">
        <w:t>AB nodes ignore the cell barring indications tha</w:t>
      </w:r>
      <w:r w:rsidR="57916CDC" w:rsidRPr="5D861973">
        <w:t xml:space="preserve">t UEs are subject to. Furthermore, assuming </w:t>
      </w:r>
      <w:r w:rsidR="67354DE6" w:rsidRPr="5D861973">
        <w:t>cell barring needs to be applied to IAB nodes (for purposes such as m</w:t>
      </w:r>
      <w:r w:rsidR="0C2AF1F9" w:rsidRPr="5D861973">
        <w:t>aintenance), such mechanisms should be independent of the cell barring mec</w:t>
      </w:r>
      <w:r w:rsidR="07D361B3" w:rsidRPr="5D861973">
        <w:t>ha</w:t>
      </w:r>
      <w:r w:rsidR="5D861973" w:rsidRPr="5D861973">
        <w:t xml:space="preserve">nisms that apply to UEs. </w:t>
      </w:r>
      <w:r w:rsidR="278D69EE" w:rsidRPr="5D861973">
        <w:t xml:space="preserve"> </w:t>
      </w:r>
    </w:p>
    <w:p w14:paraId="0134F12C" w14:textId="77777777" w:rsidR="005E43A7" w:rsidRPr="00D25BF2" w:rsidRDefault="005E43A7">
      <w:pPr>
        <w:pStyle w:val="Heading1"/>
      </w:pPr>
      <w:r>
        <w:t>Conclusion</w:t>
      </w:r>
    </w:p>
    <w:p w14:paraId="2C3A8B59" w14:textId="4EA831D6" w:rsidR="00087A0C" w:rsidRDefault="00B80CDB">
      <w:r>
        <w:t>In this contribution we have studied the UE association that results from the initial network setup and IAB node integration procedure. Our simulation study shows that the resulting UE association can be inefficient even for small networks and when there are only a few UEs. The following are our observations and proposals:</w:t>
      </w:r>
    </w:p>
    <w:p w14:paraId="0EDA1261" w14:textId="258CC240" w:rsidR="00B80CDB" w:rsidRPr="002F26B6" w:rsidRDefault="00B80CDB" w:rsidP="00B80CDB">
      <w:r w:rsidRPr="004E1F83">
        <w:rPr>
          <w:b/>
          <w:bCs/>
          <w:i/>
          <w:iCs/>
        </w:rPr>
        <w:t xml:space="preserve">Observation </w:t>
      </w:r>
      <w:r w:rsidR="004F73AC" w:rsidRPr="004E1F83">
        <w:rPr>
          <w:b/>
          <w:bCs/>
          <w:i/>
          <w:iCs/>
        </w:rPr>
        <w:t>1</w:t>
      </w:r>
      <w:r w:rsidRPr="004E1F83">
        <w:rPr>
          <w:b/>
          <w:bCs/>
          <w:i/>
          <w:iCs/>
        </w:rPr>
        <w:t>: If UEs attach to IAB nodes before full IAB network setup, significant re-attachments of UEs to IAB nodes (via handovers</w:t>
      </w:r>
      <w:r w:rsidR="0902C255" w:rsidRPr="004E1F83">
        <w:rPr>
          <w:b/>
          <w:bCs/>
          <w:i/>
          <w:iCs/>
        </w:rPr>
        <w:t xml:space="preserve"> </w:t>
      </w:r>
      <w:r w:rsidR="14A200B1" w:rsidRPr="004E1F83">
        <w:rPr>
          <w:b/>
          <w:bCs/>
          <w:i/>
          <w:iCs/>
        </w:rPr>
        <w:t>and reselections</w:t>
      </w:r>
      <w:r w:rsidRPr="004E1F83">
        <w:rPr>
          <w:b/>
          <w:bCs/>
          <w:i/>
          <w:iCs/>
        </w:rPr>
        <w:t>) may be needed.</w:t>
      </w:r>
    </w:p>
    <w:p w14:paraId="5EFFBFF8" w14:textId="2404CD1F" w:rsidR="00B80CDB" w:rsidRDefault="00B80CDB" w:rsidP="00B80CDB">
      <w:pPr>
        <w:rPr>
          <w:b/>
          <w:i/>
        </w:rPr>
      </w:pPr>
      <w:r w:rsidRPr="00CD54C9">
        <w:rPr>
          <w:b/>
          <w:i/>
        </w:rPr>
        <w:t xml:space="preserve">Observation </w:t>
      </w:r>
      <w:r w:rsidR="004F73AC">
        <w:rPr>
          <w:b/>
          <w:i/>
        </w:rPr>
        <w:t>2</w:t>
      </w:r>
      <w:r w:rsidRPr="00CD54C9">
        <w:rPr>
          <w:b/>
          <w:i/>
        </w:rPr>
        <w:t>: Delaying UE parent selection until all IAB nodes are integrated into the network can significantly improve the distrib</w:t>
      </w:r>
      <w:r>
        <w:rPr>
          <w:b/>
          <w:i/>
        </w:rPr>
        <w:t>ution of UEs across the network and reduce the need for handovers of UEs after the node integration procedure.</w:t>
      </w:r>
    </w:p>
    <w:p w14:paraId="759C7170" w14:textId="4A64A8AB" w:rsidR="00B80CDB" w:rsidRPr="0038476F" w:rsidRDefault="00B80CDB">
      <w:r w:rsidRPr="004F763F">
        <w:rPr>
          <w:b/>
          <w:i/>
        </w:rPr>
        <w:t>Proposal: UEs are barred from accessing IAB nodes until all IAB nodes are integrated into the network. IAB node MTs are not subject to such barring. Determination of when all IAB nodes are considered integrated into the network (i.e., when to remove the barring of UEs) is left to the network.</w:t>
      </w:r>
    </w:p>
    <w:p w14:paraId="0134F12E" w14:textId="77777777" w:rsidR="005E43A7" w:rsidRPr="005E43A7" w:rsidRDefault="005E43A7" w:rsidP="005E43A7">
      <w:pPr>
        <w:pStyle w:val="Heading1"/>
      </w:pPr>
      <w:r>
        <w:t>References</w:t>
      </w:r>
    </w:p>
    <w:p w14:paraId="0134F12F" w14:textId="0538A6B1" w:rsidR="005E43A7" w:rsidRDefault="00181E32" w:rsidP="00421925">
      <w:pPr>
        <w:pStyle w:val="ListParagraph"/>
        <w:numPr>
          <w:ilvl w:val="0"/>
          <w:numId w:val="5"/>
        </w:numPr>
      </w:pPr>
      <w:bookmarkStart w:id="8" w:name="_Ref19702239"/>
      <w:r>
        <w:t>R3-193351, “Support for IAB”, CR to 38.401, Aug 2019.</w:t>
      </w:r>
      <w:bookmarkEnd w:id="8"/>
    </w:p>
    <w:p w14:paraId="695F8B98" w14:textId="12A779F2" w:rsidR="009A7D17" w:rsidRDefault="009A7D17" w:rsidP="00421925">
      <w:pPr>
        <w:pStyle w:val="ListParagraph"/>
        <w:numPr>
          <w:ilvl w:val="0"/>
          <w:numId w:val="5"/>
        </w:numPr>
      </w:pPr>
      <w:bookmarkStart w:id="9" w:name="_Ref23773391"/>
      <w:r>
        <w:t>R2-</w:t>
      </w:r>
      <w:r w:rsidR="007214D6">
        <w:t>1914733</w:t>
      </w:r>
      <w:r>
        <w:t xml:space="preserve">, “Parent selection at </w:t>
      </w:r>
      <w:r w:rsidR="00791E31">
        <w:t>IAB nodes</w:t>
      </w:r>
      <w:r>
        <w:t xml:space="preserve"> during initial setup”, Intel Corp., RAN2#108.</w:t>
      </w:r>
      <w:bookmarkEnd w:id="9"/>
    </w:p>
    <w:p w14:paraId="0134F130" w14:textId="3DC90BA4" w:rsidR="005E43A7" w:rsidRDefault="00CD54C9" w:rsidP="00CD54C9">
      <w:pPr>
        <w:pStyle w:val="Heading1"/>
      </w:pPr>
      <w:r>
        <w:t>Appendix</w:t>
      </w:r>
    </w:p>
    <w:p w14:paraId="64D05CFB" w14:textId="288BF130" w:rsidR="006C7DE6" w:rsidRDefault="006C7DE6" w:rsidP="006C7DE6"/>
    <w:p w14:paraId="66083A02" w14:textId="791336A7" w:rsidR="00741A64" w:rsidRDefault="00741A64" w:rsidP="003942DF">
      <w:pPr>
        <w:pStyle w:val="Caption"/>
        <w:keepNext/>
      </w:pPr>
      <w:r>
        <w:t xml:space="preserve">Table </w:t>
      </w:r>
      <w:r>
        <w:fldChar w:fldCharType="begin"/>
      </w:r>
      <w:r>
        <w:instrText xml:space="preserve"> SEQ Table \* ARABIC </w:instrText>
      </w:r>
      <w:r>
        <w:fldChar w:fldCharType="separate"/>
      </w:r>
      <w:r>
        <w:rPr>
          <w:noProof/>
        </w:rPr>
        <w:t>3</w:t>
      </w:r>
      <w:r>
        <w:fldChar w:fldCharType="end"/>
      </w:r>
      <w:r>
        <w:t>: Simulation Assumptions</w:t>
      </w:r>
    </w:p>
    <w:tbl>
      <w:tblPr>
        <w:tblStyle w:val="TableGrid"/>
        <w:tblW w:w="0" w:type="auto"/>
        <w:tblLook w:val="04A0" w:firstRow="1" w:lastRow="0" w:firstColumn="1" w:lastColumn="0" w:noHBand="0" w:noVBand="1"/>
      </w:tblPr>
      <w:tblGrid>
        <w:gridCol w:w="4614"/>
        <w:gridCol w:w="4736"/>
      </w:tblGrid>
      <w:tr w:rsidR="006C7DE6" w14:paraId="7E92D7BA" w14:textId="77777777" w:rsidTr="003942DF">
        <w:tc>
          <w:tcPr>
            <w:tcW w:w="4614" w:type="dxa"/>
          </w:tcPr>
          <w:p w14:paraId="12785998" w14:textId="7D820EEB" w:rsidR="006C7DE6" w:rsidRDefault="006C7DE6" w:rsidP="006C7DE6">
            <w:r>
              <w:t>Parameter</w:t>
            </w:r>
          </w:p>
        </w:tc>
        <w:tc>
          <w:tcPr>
            <w:tcW w:w="4736" w:type="dxa"/>
          </w:tcPr>
          <w:p w14:paraId="2E11DE88" w14:textId="516C7D72" w:rsidR="006C7DE6" w:rsidRDefault="006C7DE6" w:rsidP="006C7DE6">
            <w:r>
              <w:t>Value</w:t>
            </w:r>
          </w:p>
        </w:tc>
      </w:tr>
      <w:tr w:rsidR="006C7DE6" w14:paraId="0718EFF4" w14:textId="77777777" w:rsidTr="003942DF">
        <w:tc>
          <w:tcPr>
            <w:tcW w:w="4614" w:type="dxa"/>
          </w:tcPr>
          <w:p w14:paraId="626AEFFB" w14:textId="785F514F" w:rsidR="006C7DE6" w:rsidRDefault="006C7DE6" w:rsidP="006C7DE6">
            <w:r>
              <w:t>Layout</w:t>
            </w:r>
          </w:p>
        </w:tc>
        <w:tc>
          <w:tcPr>
            <w:tcW w:w="4736" w:type="dxa"/>
          </w:tcPr>
          <w:p w14:paraId="0C0300E2" w14:textId="77777777" w:rsidR="006C7DE6" w:rsidRDefault="006C7DE6" w:rsidP="006C7DE6">
            <w:r>
              <w:t xml:space="preserve">Heterogeneous scenario, two </w:t>
            </w:r>
            <w:proofErr w:type="gramStart"/>
            <w:r>
              <w:t>layer</w:t>
            </w:r>
            <w:proofErr w:type="gramEnd"/>
            <w:r>
              <w:t xml:space="preserve">: </w:t>
            </w:r>
          </w:p>
          <w:p w14:paraId="1A1870CA" w14:textId="516D3147" w:rsidR="006C7DE6" w:rsidRDefault="006C7DE6" w:rsidP="006C7DE6">
            <w:r>
              <w:t>Macro layer: Hex. Grid, 1 site, 3 sectors</w:t>
            </w:r>
          </w:p>
          <w:p w14:paraId="3B85624D" w14:textId="474EB52A" w:rsidR="006C7DE6" w:rsidRDefault="006C7DE6" w:rsidP="006C7DE6">
            <w:r>
              <w:t>Micro layer: random drop, 3 micro BSs per macro sector</w:t>
            </w:r>
          </w:p>
        </w:tc>
      </w:tr>
      <w:tr w:rsidR="006C7DE6" w14:paraId="103EBB27" w14:textId="77777777" w:rsidTr="003942DF">
        <w:tc>
          <w:tcPr>
            <w:tcW w:w="4614" w:type="dxa"/>
          </w:tcPr>
          <w:p w14:paraId="62BA1E28" w14:textId="0C73907E" w:rsidR="006C7DE6" w:rsidRDefault="006C7DE6" w:rsidP="006C7DE6">
            <w:r>
              <w:t>Inter-BS distance</w:t>
            </w:r>
          </w:p>
        </w:tc>
        <w:tc>
          <w:tcPr>
            <w:tcW w:w="4736" w:type="dxa"/>
          </w:tcPr>
          <w:p w14:paraId="1923DF6B" w14:textId="1FCA5CD7" w:rsidR="006C7DE6" w:rsidRDefault="006C7DE6" w:rsidP="006C7DE6">
            <w:r>
              <w:t>500 m</w:t>
            </w:r>
          </w:p>
        </w:tc>
      </w:tr>
      <w:tr w:rsidR="006C7DE6" w14:paraId="568DF4FC" w14:textId="77777777" w:rsidTr="003942DF">
        <w:tc>
          <w:tcPr>
            <w:tcW w:w="4614" w:type="dxa"/>
          </w:tcPr>
          <w:p w14:paraId="519E923F" w14:textId="2D41F5B6" w:rsidR="006C7DE6" w:rsidRDefault="006C7DE6" w:rsidP="006C7DE6">
            <w:r>
              <w:t>Min distance</w:t>
            </w:r>
          </w:p>
        </w:tc>
        <w:tc>
          <w:tcPr>
            <w:tcW w:w="4736" w:type="dxa"/>
          </w:tcPr>
          <w:tbl>
            <w:tblPr>
              <w:tblW w:w="4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1748"/>
            </w:tblGrid>
            <w:tr w:rsidR="006C7DE6" w:rsidRPr="00E23CFA" w14:paraId="5C693F6D" w14:textId="77777777" w:rsidTr="00843AEC">
              <w:trPr>
                <w:trHeight w:val="223"/>
              </w:trPr>
              <w:tc>
                <w:tcPr>
                  <w:tcW w:w="1990" w:type="dxa"/>
                  <w:shd w:val="clear" w:color="auto" w:fill="auto"/>
                  <w:hideMark/>
                </w:tcPr>
                <w:p w14:paraId="4DB2DA94" w14:textId="77777777" w:rsidR="006C7DE6" w:rsidRPr="00E23CFA" w:rsidRDefault="006C7DE6" w:rsidP="006C7DE6">
                  <w:pPr>
                    <w:pStyle w:val="TAL"/>
                    <w:rPr>
                      <w:bCs/>
                      <w:lang w:val="en-GB" w:eastAsia="ja-JP"/>
                    </w:rPr>
                  </w:pPr>
                  <w:r w:rsidRPr="00E23CFA">
                    <w:rPr>
                      <w:bCs/>
                      <w:lang w:val="en-GB" w:eastAsia="ja-JP"/>
                    </w:rPr>
                    <w:t>Minimum distance between Micro TRPs</w:t>
                  </w:r>
                </w:p>
              </w:tc>
              <w:tc>
                <w:tcPr>
                  <w:tcW w:w="1260" w:type="dxa"/>
                  <w:shd w:val="clear" w:color="auto" w:fill="auto"/>
                  <w:hideMark/>
                </w:tcPr>
                <w:p w14:paraId="61783A81" w14:textId="170E2349" w:rsidR="006C7DE6" w:rsidRPr="00E23CFA" w:rsidRDefault="006C7DE6" w:rsidP="006C7DE6">
                  <w:pPr>
                    <w:pStyle w:val="TAL"/>
                    <w:rPr>
                      <w:bCs/>
                      <w:lang w:val="en-GB" w:eastAsia="ko-KR"/>
                    </w:rPr>
                  </w:pPr>
                  <w:r w:rsidRPr="00237425">
                    <w:rPr>
                      <w:bCs/>
                      <w:color w:val="000000" w:themeColor="text1"/>
                      <w:lang w:val="en-GB" w:eastAsia="ko-KR"/>
                    </w:rPr>
                    <w:t>10m</w:t>
                  </w:r>
                </w:p>
              </w:tc>
            </w:tr>
            <w:tr w:rsidR="006C7DE6" w:rsidRPr="00E23CFA" w14:paraId="6B12CBAB" w14:textId="77777777" w:rsidTr="00843AEC">
              <w:trPr>
                <w:trHeight w:val="223"/>
              </w:trPr>
              <w:tc>
                <w:tcPr>
                  <w:tcW w:w="1990" w:type="dxa"/>
                  <w:shd w:val="clear" w:color="auto" w:fill="auto"/>
                  <w:hideMark/>
                </w:tcPr>
                <w:p w14:paraId="4CB32D43" w14:textId="77777777" w:rsidR="006C7DE6" w:rsidRPr="00E23CFA" w:rsidRDefault="006C7DE6" w:rsidP="006C7DE6">
                  <w:pPr>
                    <w:pStyle w:val="TAL"/>
                    <w:rPr>
                      <w:bCs/>
                      <w:lang w:val="en-GB" w:eastAsia="ja-JP"/>
                    </w:rPr>
                  </w:pPr>
                  <w:r w:rsidRPr="00E23CFA">
                    <w:rPr>
                      <w:bCs/>
                      <w:lang w:val="en-GB" w:eastAsia="ja-JP"/>
                    </w:rPr>
                    <w:t>Minimum distance between Macro TRP and UE</w:t>
                  </w:r>
                </w:p>
              </w:tc>
              <w:tc>
                <w:tcPr>
                  <w:tcW w:w="1260" w:type="dxa"/>
                  <w:shd w:val="clear" w:color="auto" w:fill="auto"/>
                  <w:hideMark/>
                </w:tcPr>
                <w:p w14:paraId="10DC3610" w14:textId="77777777" w:rsidR="006C7DE6" w:rsidRPr="00E23CFA" w:rsidRDefault="006C7DE6" w:rsidP="006C7DE6">
                  <w:pPr>
                    <w:pStyle w:val="TAL"/>
                    <w:rPr>
                      <w:bCs/>
                      <w:lang w:val="en-GB" w:eastAsia="ko-KR"/>
                    </w:rPr>
                  </w:pPr>
                  <w:r w:rsidRPr="00E23CFA">
                    <w:rPr>
                      <w:bCs/>
                      <w:lang w:val="en-GB" w:eastAsia="ko-KR"/>
                    </w:rPr>
                    <w:t>35m</w:t>
                  </w:r>
                </w:p>
              </w:tc>
            </w:tr>
            <w:tr w:rsidR="006C7DE6" w:rsidRPr="00E23CFA" w14:paraId="17D596F1" w14:textId="77777777" w:rsidTr="00843AEC">
              <w:trPr>
                <w:trHeight w:val="223"/>
              </w:trPr>
              <w:tc>
                <w:tcPr>
                  <w:tcW w:w="1990" w:type="dxa"/>
                  <w:shd w:val="clear" w:color="auto" w:fill="auto"/>
                  <w:hideMark/>
                </w:tcPr>
                <w:p w14:paraId="4B1C4061" w14:textId="77777777" w:rsidR="006C7DE6" w:rsidRPr="00E23CFA" w:rsidRDefault="006C7DE6" w:rsidP="006C7DE6">
                  <w:pPr>
                    <w:pStyle w:val="TAL"/>
                    <w:rPr>
                      <w:bCs/>
                      <w:lang w:val="en-GB" w:eastAsia="ja-JP"/>
                    </w:rPr>
                  </w:pPr>
                  <w:r w:rsidRPr="00E23CFA">
                    <w:rPr>
                      <w:bCs/>
                      <w:lang w:val="en-GB" w:eastAsia="ja-JP"/>
                    </w:rPr>
                    <w:t>Minimum distance between Micro TRP and UE</w:t>
                  </w:r>
                </w:p>
              </w:tc>
              <w:tc>
                <w:tcPr>
                  <w:tcW w:w="1260" w:type="dxa"/>
                  <w:shd w:val="clear" w:color="auto" w:fill="auto"/>
                  <w:hideMark/>
                </w:tcPr>
                <w:p w14:paraId="15DE9A63" w14:textId="77777777" w:rsidR="006C7DE6" w:rsidRPr="00E23CFA" w:rsidRDefault="006C7DE6" w:rsidP="006C7DE6">
                  <w:pPr>
                    <w:pStyle w:val="TAL"/>
                    <w:rPr>
                      <w:bCs/>
                      <w:lang w:val="en-GB" w:eastAsia="ko-KR"/>
                    </w:rPr>
                  </w:pPr>
                  <w:r w:rsidRPr="00E23CFA">
                    <w:rPr>
                      <w:bCs/>
                      <w:lang w:val="en-GB" w:eastAsia="ko-KR"/>
                    </w:rPr>
                    <w:t>10m</w:t>
                  </w:r>
                </w:p>
              </w:tc>
            </w:tr>
            <w:tr w:rsidR="006C7DE6" w:rsidRPr="00E23CFA" w14:paraId="5A52E739" w14:textId="77777777" w:rsidTr="00843AEC">
              <w:trPr>
                <w:trHeight w:val="223"/>
              </w:trPr>
              <w:tc>
                <w:tcPr>
                  <w:tcW w:w="1990" w:type="dxa"/>
                  <w:shd w:val="clear" w:color="auto" w:fill="auto"/>
                </w:tcPr>
                <w:p w14:paraId="780C6042" w14:textId="77777777" w:rsidR="006C7DE6" w:rsidRPr="00E23CFA" w:rsidRDefault="006C7DE6" w:rsidP="006C7DE6">
                  <w:pPr>
                    <w:pStyle w:val="TAL"/>
                    <w:rPr>
                      <w:bCs/>
                      <w:lang w:val="en-GB" w:eastAsia="ja-JP"/>
                    </w:rPr>
                  </w:pPr>
                  <w:r w:rsidRPr="00E23CFA">
                    <w:rPr>
                      <w:bCs/>
                      <w:lang w:val="en-GB" w:eastAsia="ja-JP"/>
                    </w:rPr>
                    <w:t>Minimum distance between Micro TRPs and Macro TRP</w:t>
                  </w:r>
                </w:p>
              </w:tc>
              <w:tc>
                <w:tcPr>
                  <w:tcW w:w="1260" w:type="dxa"/>
                  <w:shd w:val="clear" w:color="auto" w:fill="auto"/>
                </w:tcPr>
                <w:p w14:paraId="0DD5B379" w14:textId="77777777" w:rsidR="006C7DE6" w:rsidRPr="00E23CFA" w:rsidRDefault="006C7DE6" w:rsidP="006C7DE6">
                  <w:pPr>
                    <w:pStyle w:val="TAL"/>
                    <w:rPr>
                      <w:bCs/>
                      <w:lang w:val="en-GB" w:eastAsia="ja-JP"/>
                    </w:rPr>
                  </w:pPr>
                  <w:r w:rsidRPr="00E23CFA">
                    <w:rPr>
                      <w:bCs/>
                      <w:lang w:val="en-GB" w:eastAsia="ja-JP"/>
                    </w:rPr>
                    <w:t>40 m</w:t>
                  </w:r>
                </w:p>
              </w:tc>
            </w:tr>
          </w:tbl>
          <w:p w14:paraId="4B5D54E0" w14:textId="77777777" w:rsidR="006C7DE6" w:rsidRDefault="006C7DE6" w:rsidP="006C7DE6"/>
        </w:tc>
      </w:tr>
      <w:tr w:rsidR="006C7DE6" w14:paraId="261EFF4A" w14:textId="77777777" w:rsidTr="003942DF">
        <w:tc>
          <w:tcPr>
            <w:tcW w:w="4614" w:type="dxa"/>
          </w:tcPr>
          <w:p w14:paraId="1EFC38B2" w14:textId="211F4B45" w:rsidR="006C7DE6" w:rsidRDefault="006C7DE6" w:rsidP="006C7DE6">
            <w:pPr>
              <w:tabs>
                <w:tab w:val="left" w:pos="1320"/>
              </w:tabs>
            </w:pPr>
            <w:r>
              <w:lastRenderedPageBreak/>
              <w:t>Large scale channel parameters</w:t>
            </w:r>
            <w:r>
              <w:tab/>
            </w:r>
          </w:p>
        </w:tc>
        <w:tc>
          <w:tcPr>
            <w:tcW w:w="4736" w:type="dxa"/>
          </w:tcPr>
          <w:p w14:paraId="48976B69" w14:textId="77777777" w:rsidR="006C7DE6" w:rsidRPr="00E23CFA" w:rsidRDefault="006C7DE6" w:rsidP="006C7DE6">
            <w:pPr>
              <w:pStyle w:val="TAL"/>
              <w:rPr>
                <w:lang w:val="en-GB" w:eastAsia="ja-JP"/>
              </w:rPr>
            </w:pPr>
            <w:r w:rsidRPr="00E23CFA">
              <w:rPr>
                <w:lang w:val="en-GB" w:eastAsia="ja-JP"/>
              </w:rPr>
              <w:t>Above 6GHz:</w:t>
            </w:r>
          </w:p>
          <w:p w14:paraId="740070B6" w14:textId="77777777" w:rsidR="006C7DE6" w:rsidRPr="00E23CFA" w:rsidRDefault="006C7DE6" w:rsidP="006C7DE6">
            <w:pPr>
              <w:pStyle w:val="TAL"/>
              <w:rPr>
                <w:lang w:val="en-GB" w:eastAsia="ja-JP"/>
              </w:rPr>
            </w:pPr>
            <w:r w:rsidRPr="00E23CFA">
              <w:rPr>
                <w:lang w:val="en-GB" w:eastAsia="ja-JP"/>
              </w:rPr>
              <w:t xml:space="preserve">- Macro-to-UE: 5GCM </w:t>
            </w:r>
            <w:proofErr w:type="spellStart"/>
            <w:r w:rsidRPr="00E23CFA">
              <w:rPr>
                <w:lang w:val="en-GB" w:eastAsia="ja-JP"/>
              </w:rPr>
              <w:t>UMa</w:t>
            </w:r>
            <w:proofErr w:type="spellEnd"/>
          </w:p>
          <w:p w14:paraId="4FF0E097" w14:textId="77777777" w:rsidR="006C7DE6" w:rsidRPr="00E23CFA" w:rsidRDefault="006C7DE6" w:rsidP="006C7DE6">
            <w:pPr>
              <w:pStyle w:val="TAL"/>
              <w:rPr>
                <w:lang w:val="en-GB" w:eastAsia="ja-JP"/>
              </w:rPr>
            </w:pPr>
            <w:r w:rsidRPr="00E23CFA">
              <w:rPr>
                <w:lang w:val="en-GB" w:eastAsia="ja-JP"/>
              </w:rPr>
              <w:t xml:space="preserve">- Micro-to-UE: </w:t>
            </w:r>
            <w:proofErr w:type="spellStart"/>
            <w:r w:rsidRPr="00E23CFA">
              <w:rPr>
                <w:lang w:val="en-GB" w:eastAsia="ja-JP"/>
              </w:rPr>
              <w:t>UMi</w:t>
            </w:r>
            <w:proofErr w:type="spellEnd"/>
            <w:r w:rsidRPr="00E23CFA">
              <w:rPr>
                <w:lang w:val="en-GB" w:eastAsia="ja-JP"/>
              </w:rPr>
              <w:t>-Street canyon</w:t>
            </w:r>
          </w:p>
          <w:p w14:paraId="66E4DF0A" w14:textId="77777777" w:rsidR="006C7DE6" w:rsidRPr="00E23CFA" w:rsidRDefault="006C7DE6" w:rsidP="006C7DE6">
            <w:pPr>
              <w:pStyle w:val="TAL"/>
              <w:rPr>
                <w:lang w:val="en-GB" w:eastAsia="ja-JP"/>
              </w:rPr>
            </w:pPr>
            <w:r w:rsidRPr="00E23CFA">
              <w:rPr>
                <w:lang w:val="en-GB" w:eastAsia="ja-JP"/>
              </w:rPr>
              <w:t xml:space="preserve">- Macro-to-Macro: 5GCM </w:t>
            </w:r>
            <w:proofErr w:type="spellStart"/>
            <w:r w:rsidRPr="00E23CFA">
              <w:rPr>
                <w:lang w:val="en-GB" w:eastAsia="ja-JP"/>
              </w:rPr>
              <w:t>UMa</w:t>
            </w:r>
            <w:proofErr w:type="spellEnd"/>
            <w:r w:rsidRPr="00E23CFA">
              <w:rPr>
                <w:lang w:val="en-GB" w:eastAsia="ja-JP"/>
              </w:rPr>
              <w:t xml:space="preserve"> (</w:t>
            </w:r>
            <w:proofErr w:type="spellStart"/>
            <w:r w:rsidRPr="00E23CFA">
              <w:rPr>
                <w:lang w:val="en-GB" w:eastAsia="ja-JP"/>
              </w:rPr>
              <w:t>h</w:t>
            </w:r>
            <w:r w:rsidRPr="00E23CFA">
              <w:rPr>
                <w:vertAlign w:val="subscript"/>
                <w:lang w:val="en-GB" w:eastAsia="ja-JP"/>
              </w:rPr>
              <w:t>UE</w:t>
            </w:r>
            <w:proofErr w:type="spellEnd"/>
            <w:r w:rsidRPr="00E23CFA">
              <w:rPr>
                <w:lang w:val="en-GB" w:eastAsia="ja-JP"/>
              </w:rPr>
              <w:t xml:space="preserve"> =25m)</w:t>
            </w:r>
          </w:p>
          <w:p w14:paraId="754D68D5" w14:textId="77777777" w:rsidR="006C7DE6" w:rsidRPr="00E23CFA" w:rsidRDefault="006C7DE6" w:rsidP="006C7DE6">
            <w:pPr>
              <w:pStyle w:val="TAL"/>
              <w:rPr>
                <w:lang w:val="en-GB" w:eastAsia="ja-JP"/>
              </w:rPr>
            </w:pPr>
            <w:r w:rsidRPr="00E23CFA">
              <w:rPr>
                <w:lang w:val="en-GB" w:eastAsia="ja-JP"/>
              </w:rPr>
              <w:t xml:space="preserve">- Macro-to-Micro: 5GCM </w:t>
            </w:r>
            <w:proofErr w:type="spellStart"/>
            <w:r w:rsidRPr="00E23CFA">
              <w:rPr>
                <w:lang w:val="en-GB" w:eastAsia="ja-JP"/>
              </w:rPr>
              <w:t>UMa</w:t>
            </w:r>
            <w:proofErr w:type="spellEnd"/>
            <w:r w:rsidRPr="00E23CFA">
              <w:rPr>
                <w:lang w:val="en-GB" w:eastAsia="ja-JP"/>
              </w:rPr>
              <w:t xml:space="preserve"> (</w:t>
            </w:r>
            <w:proofErr w:type="spellStart"/>
            <w:r w:rsidRPr="00E23CFA">
              <w:rPr>
                <w:lang w:val="en-GB" w:eastAsia="ja-JP"/>
              </w:rPr>
              <w:t>h</w:t>
            </w:r>
            <w:r w:rsidRPr="00E23CFA">
              <w:rPr>
                <w:vertAlign w:val="subscript"/>
                <w:lang w:val="en-GB" w:eastAsia="ja-JP"/>
              </w:rPr>
              <w:t>UE</w:t>
            </w:r>
            <w:proofErr w:type="spellEnd"/>
            <w:r w:rsidRPr="00E23CFA">
              <w:rPr>
                <w:lang w:val="en-GB" w:eastAsia="ja-JP"/>
              </w:rPr>
              <w:t xml:space="preserve"> =10m)</w:t>
            </w:r>
          </w:p>
          <w:p w14:paraId="5134343D" w14:textId="77777777" w:rsidR="006C7DE6" w:rsidRDefault="006C7DE6" w:rsidP="006C7DE6">
            <w:pPr>
              <w:pStyle w:val="TAL"/>
              <w:rPr>
                <w:lang w:val="en-GB" w:eastAsia="ja-JP"/>
              </w:rPr>
            </w:pPr>
            <w:r w:rsidRPr="00E23CFA">
              <w:rPr>
                <w:lang w:val="en-GB" w:eastAsia="ja-JP"/>
              </w:rPr>
              <w:t xml:space="preserve">- Micro-to-Micro: </w:t>
            </w:r>
            <w:proofErr w:type="spellStart"/>
            <w:r w:rsidRPr="00E23CFA">
              <w:rPr>
                <w:lang w:val="en-GB" w:eastAsia="ja-JP"/>
              </w:rPr>
              <w:t>UMi</w:t>
            </w:r>
            <w:proofErr w:type="spellEnd"/>
            <w:r w:rsidRPr="00E23CFA">
              <w:rPr>
                <w:lang w:val="en-GB" w:eastAsia="ja-JP"/>
              </w:rPr>
              <w:t>-Street canyon (</w:t>
            </w:r>
            <w:proofErr w:type="spellStart"/>
            <w:r w:rsidRPr="00E23CFA">
              <w:rPr>
                <w:lang w:val="en-GB" w:eastAsia="ja-JP"/>
              </w:rPr>
              <w:t>h</w:t>
            </w:r>
            <w:r w:rsidRPr="00E23CFA">
              <w:rPr>
                <w:vertAlign w:val="subscript"/>
                <w:lang w:val="en-GB" w:eastAsia="ja-JP"/>
              </w:rPr>
              <w:t>UE</w:t>
            </w:r>
            <w:proofErr w:type="spellEnd"/>
            <w:r w:rsidRPr="00E23CFA">
              <w:rPr>
                <w:lang w:val="en-GB" w:eastAsia="ja-JP"/>
              </w:rPr>
              <w:t xml:space="preserve"> =10m)</w:t>
            </w:r>
          </w:p>
          <w:p w14:paraId="4D17D3A3" w14:textId="14BF4747" w:rsidR="002B24C6" w:rsidRPr="006C7DE6" w:rsidRDefault="002B24C6" w:rsidP="006C7DE6">
            <w:pPr>
              <w:pStyle w:val="TAL"/>
              <w:rPr>
                <w:lang w:val="en-GB" w:eastAsia="ja-JP"/>
              </w:rPr>
            </w:pPr>
            <w:r>
              <w:rPr>
                <w:lang w:val="en-GB" w:eastAsia="ja-JP"/>
              </w:rPr>
              <w:t xml:space="preserve">According to </w:t>
            </w:r>
            <w:r w:rsidRPr="002B24C6">
              <w:rPr>
                <w:lang w:val="en-GB" w:eastAsia="ja-JP"/>
              </w:rPr>
              <w:t>3GPP TR 38.900 Table 7.4.1-1</w:t>
            </w:r>
          </w:p>
        </w:tc>
      </w:tr>
      <w:tr w:rsidR="006C7DE6" w14:paraId="12DCE083" w14:textId="77777777" w:rsidTr="003942DF">
        <w:tc>
          <w:tcPr>
            <w:tcW w:w="4614" w:type="dxa"/>
          </w:tcPr>
          <w:p w14:paraId="0E348304" w14:textId="6DC370DE" w:rsidR="006C7DE6" w:rsidRDefault="006C7DE6" w:rsidP="006C7DE6">
            <w:r>
              <w:t>BS Tx power</w:t>
            </w:r>
          </w:p>
        </w:tc>
        <w:tc>
          <w:tcPr>
            <w:tcW w:w="4736" w:type="dxa"/>
          </w:tcPr>
          <w:p w14:paraId="0EE10736" w14:textId="77777777" w:rsidR="006C7DE6" w:rsidRDefault="006C7DE6" w:rsidP="006C7DE6">
            <w:r>
              <w:t>Macro layer: 40 dBm</w:t>
            </w:r>
          </w:p>
          <w:p w14:paraId="0F92EEB9" w14:textId="024C7072" w:rsidR="006C7DE6" w:rsidRDefault="006C7DE6" w:rsidP="006C7DE6">
            <w:r>
              <w:t>Micro layer: 33 dBm</w:t>
            </w:r>
          </w:p>
        </w:tc>
      </w:tr>
      <w:tr w:rsidR="006C7DE6" w14:paraId="702E4B23" w14:textId="77777777" w:rsidTr="003942DF">
        <w:tc>
          <w:tcPr>
            <w:tcW w:w="4614" w:type="dxa"/>
          </w:tcPr>
          <w:p w14:paraId="3E9DC8FF" w14:textId="37123046" w:rsidR="006C7DE6" w:rsidRDefault="002B24C6" w:rsidP="006C7DE6">
            <w:r>
              <w:t># random drops</w:t>
            </w:r>
          </w:p>
        </w:tc>
        <w:tc>
          <w:tcPr>
            <w:tcW w:w="4736" w:type="dxa"/>
          </w:tcPr>
          <w:p w14:paraId="4634BC72" w14:textId="5A56EF97" w:rsidR="006C7DE6" w:rsidRDefault="002B24C6" w:rsidP="006C7DE6">
            <w:r>
              <w:t>500</w:t>
            </w:r>
          </w:p>
        </w:tc>
      </w:tr>
      <w:tr w:rsidR="006C7DE6" w14:paraId="432A5699" w14:textId="77777777" w:rsidTr="003942DF">
        <w:tc>
          <w:tcPr>
            <w:tcW w:w="4614" w:type="dxa"/>
          </w:tcPr>
          <w:p w14:paraId="3B0562DE" w14:textId="77777777" w:rsidR="006C7DE6" w:rsidRDefault="006C7DE6" w:rsidP="006C7DE6"/>
        </w:tc>
        <w:tc>
          <w:tcPr>
            <w:tcW w:w="4736" w:type="dxa"/>
          </w:tcPr>
          <w:p w14:paraId="58AEC0E1" w14:textId="77777777" w:rsidR="006C7DE6" w:rsidRDefault="006C7DE6" w:rsidP="006C7DE6"/>
        </w:tc>
      </w:tr>
    </w:tbl>
    <w:p w14:paraId="070760EB" w14:textId="77777777" w:rsidR="00274CE6" w:rsidRDefault="00274CE6" w:rsidP="006C7DE6"/>
    <w:p w14:paraId="7973D7EB" w14:textId="77777777" w:rsidR="00692A50" w:rsidRPr="006C7DE6" w:rsidRDefault="00692A50" w:rsidP="006C7DE6"/>
    <w:sectPr w:rsidR="00692A50" w:rsidRPr="006C7DE6" w:rsidSect="00C20C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81555"/>
    <w:multiLevelType w:val="hybridMultilevel"/>
    <w:tmpl w:val="2BC0CF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65159D"/>
    <w:multiLevelType w:val="hybridMultilevel"/>
    <w:tmpl w:val="6B9A6292"/>
    <w:lvl w:ilvl="0" w:tplc="61788C6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E524AF"/>
    <w:multiLevelType w:val="hybridMultilevel"/>
    <w:tmpl w:val="F0F8D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510A55"/>
    <w:multiLevelType w:val="hybridMultilevel"/>
    <w:tmpl w:val="E8DA8256"/>
    <w:lvl w:ilvl="0" w:tplc="5308D4E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3573D9"/>
    <w:multiLevelType w:val="hybridMultilevel"/>
    <w:tmpl w:val="49FCBFE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075B19"/>
    <w:multiLevelType w:val="hybridMultilevel"/>
    <w:tmpl w:val="879871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8B4ED6"/>
    <w:multiLevelType w:val="hybridMultilevel"/>
    <w:tmpl w:val="7E8A1878"/>
    <w:lvl w:ilvl="0" w:tplc="B2587D3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0"/>
  </w:num>
  <w:num w:numId="4">
    <w:abstractNumId w:val="1"/>
  </w:num>
  <w:num w:numId="5">
    <w:abstractNumId w:val="4"/>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3A7"/>
    <w:rsid w:val="0000542D"/>
    <w:rsid w:val="000133E7"/>
    <w:rsid w:val="0003289D"/>
    <w:rsid w:val="000528D3"/>
    <w:rsid w:val="00055D7C"/>
    <w:rsid w:val="00060AC7"/>
    <w:rsid w:val="00087A0C"/>
    <w:rsid w:val="00091516"/>
    <w:rsid w:val="000973A9"/>
    <w:rsid w:val="000A2F52"/>
    <w:rsid w:val="000A31F9"/>
    <w:rsid w:val="000A70B6"/>
    <w:rsid w:val="000C58F1"/>
    <w:rsid w:val="000D1DBC"/>
    <w:rsid w:val="001224AE"/>
    <w:rsid w:val="00131D4D"/>
    <w:rsid w:val="00155D5A"/>
    <w:rsid w:val="00161E89"/>
    <w:rsid w:val="00181E32"/>
    <w:rsid w:val="00190C64"/>
    <w:rsid w:val="00237425"/>
    <w:rsid w:val="0025509E"/>
    <w:rsid w:val="00274CE6"/>
    <w:rsid w:val="00287DF4"/>
    <w:rsid w:val="002A16FD"/>
    <w:rsid w:val="002B24C6"/>
    <w:rsid w:val="002E720C"/>
    <w:rsid w:val="002F26B6"/>
    <w:rsid w:val="002F3259"/>
    <w:rsid w:val="00350C8E"/>
    <w:rsid w:val="00373863"/>
    <w:rsid w:val="00376D47"/>
    <w:rsid w:val="00382092"/>
    <w:rsid w:val="0038476F"/>
    <w:rsid w:val="00392411"/>
    <w:rsid w:val="003942DF"/>
    <w:rsid w:val="003E37E9"/>
    <w:rsid w:val="004022C7"/>
    <w:rsid w:val="004144E3"/>
    <w:rsid w:val="00421925"/>
    <w:rsid w:val="00430F7C"/>
    <w:rsid w:val="00446997"/>
    <w:rsid w:val="00461730"/>
    <w:rsid w:val="00462D95"/>
    <w:rsid w:val="00464198"/>
    <w:rsid w:val="00482D58"/>
    <w:rsid w:val="004A111D"/>
    <w:rsid w:val="004B39D9"/>
    <w:rsid w:val="004E1F83"/>
    <w:rsid w:val="004F73AC"/>
    <w:rsid w:val="004F763F"/>
    <w:rsid w:val="0055044A"/>
    <w:rsid w:val="0055227E"/>
    <w:rsid w:val="005C2A36"/>
    <w:rsid w:val="005C683F"/>
    <w:rsid w:val="005E12D9"/>
    <w:rsid w:val="005E2F85"/>
    <w:rsid w:val="005E43A7"/>
    <w:rsid w:val="005E6A3A"/>
    <w:rsid w:val="0064541E"/>
    <w:rsid w:val="00651C22"/>
    <w:rsid w:val="00657311"/>
    <w:rsid w:val="006614F4"/>
    <w:rsid w:val="00692A50"/>
    <w:rsid w:val="006B5F9D"/>
    <w:rsid w:val="006C7DE6"/>
    <w:rsid w:val="006F55FF"/>
    <w:rsid w:val="006F63C0"/>
    <w:rsid w:val="007214D6"/>
    <w:rsid w:val="00741A64"/>
    <w:rsid w:val="0078427C"/>
    <w:rsid w:val="00791E31"/>
    <w:rsid w:val="007938A5"/>
    <w:rsid w:val="007A0008"/>
    <w:rsid w:val="007B32E6"/>
    <w:rsid w:val="00835306"/>
    <w:rsid w:val="00837994"/>
    <w:rsid w:val="008A4F23"/>
    <w:rsid w:val="00901BFC"/>
    <w:rsid w:val="0090707C"/>
    <w:rsid w:val="009A7D17"/>
    <w:rsid w:val="009C3F4E"/>
    <w:rsid w:val="009D7305"/>
    <w:rsid w:val="00A11430"/>
    <w:rsid w:val="00A300D2"/>
    <w:rsid w:val="00A47D79"/>
    <w:rsid w:val="00A60C95"/>
    <w:rsid w:val="00A762BA"/>
    <w:rsid w:val="00A80ECF"/>
    <w:rsid w:val="00A82AF5"/>
    <w:rsid w:val="00A83ED2"/>
    <w:rsid w:val="00A97F7D"/>
    <w:rsid w:val="00AC1DE4"/>
    <w:rsid w:val="00AE6F4E"/>
    <w:rsid w:val="00B243F6"/>
    <w:rsid w:val="00B47A1B"/>
    <w:rsid w:val="00B773E4"/>
    <w:rsid w:val="00B80CDB"/>
    <w:rsid w:val="00B911A6"/>
    <w:rsid w:val="00B930B2"/>
    <w:rsid w:val="00B9681E"/>
    <w:rsid w:val="00BB6E07"/>
    <w:rsid w:val="00BB7852"/>
    <w:rsid w:val="00BD73D2"/>
    <w:rsid w:val="00BE03E6"/>
    <w:rsid w:val="00C00349"/>
    <w:rsid w:val="00C06AF3"/>
    <w:rsid w:val="00C20CE3"/>
    <w:rsid w:val="00C5256A"/>
    <w:rsid w:val="00C60131"/>
    <w:rsid w:val="00C644A4"/>
    <w:rsid w:val="00C82962"/>
    <w:rsid w:val="00C912D3"/>
    <w:rsid w:val="00C96A0C"/>
    <w:rsid w:val="00CC2306"/>
    <w:rsid w:val="00CD54C9"/>
    <w:rsid w:val="00D024BB"/>
    <w:rsid w:val="00D25BF2"/>
    <w:rsid w:val="00D408EB"/>
    <w:rsid w:val="00D713C3"/>
    <w:rsid w:val="00D7405F"/>
    <w:rsid w:val="00D805EA"/>
    <w:rsid w:val="00DB314C"/>
    <w:rsid w:val="00DC564D"/>
    <w:rsid w:val="00DF547E"/>
    <w:rsid w:val="00E0067E"/>
    <w:rsid w:val="00E24CB8"/>
    <w:rsid w:val="00E41E3D"/>
    <w:rsid w:val="00E42E5A"/>
    <w:rsid w:val="00E51C6E"/>
    <w:rsid w:val="00E71521"/>
    <w:rsid w:val="00E91ACB"/>
    <w:rsid w:val="00EB0EB4"/>
    <w:rsid w:val="00EE61FA"/>
    <w:rsid w:val="00EF038F"/>
    <w:rsid w:val="00F103A9"/>
    <w:rsid w:val="00F4145D"/>
    <w:rsid w:val="00F52FD5"/>
    <w:rsid w:val="00FA3945"/>
    <w:rsid w:val="00FD70BB"/>
    <w:rsid w:val="00FF4CA8"/>
    <w:rsid w:val="071A85F8"/>
    <w:rsid w:val="07D361B3"/>
    <w:rsid w:val="0902C255"/>
    <w:rsid w:val="0C2AF1F9"/>
    <w:rsid w:val="14A200B1"/>
    <w:rsid w:val="19314F27"/>
    <w:rsid w:val="278D69EE"/>
    <w:rsid w:val="36DDF793"/>
    <w:rsid w:val="57916CDC"/>
    <w:rsid w:val="5C1FCA97"/>
    <w:rsid w:val="5D861973"/>
    <w:rsid w:val="5D98DA62"/>
    <w:rsid w:val="67354DE6"/>
    <w:rsid w:val="6AA30749"/>
    <w:rsid w:val="72A41187"/>
    <w:rsid w:val="757CC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4F0F0"/>
  <w15:chartTrackingRefBased/>
  <w15:docId w15:val="{FBB7447D-EE87-4975-9681-D9241CC3D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43A7"/>
    <w:pPr>
      <w:jc w:val="both"/>
    </w:pPr>
    <w:rPr>
      <w:rFonts w:ascii="Calibri" w:hAnsi="Calibri" w:cs="Times New Roman"/>
      <w:lang w:val="en-GB"/>
    </w:rPr>
  </w:style>
  <w:style w:type="paragraph" w:styleId="Heading1">
    <w:name w:val="heading 1"/>
    <w:basedOn w:val="Normal"/>
    <w:next w:val="Normal"/>
    <w:link w:val="Heading1Char"/>
    <w:uiPriority w:val="9"/>
    <w:qFormat/>
    <w:rsid w:val="005E43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E43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E43A7"/>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customStyle="1" w:styleId="Heading1Char">
    <w:name w:val="Heading 1 Char"/>
    <w:basedOn w:val="DefaultParagraphFont"/>
    <w:link w:val="Heading1"/>
    <w:uiPriority w:val="9"/>
    <w:rsid w:val="005E43A7"/>
    <w:rPr>
      <w:rFonts w:asciiTheme="majorHAnsi" w:eastAsiaTheme="majorEastAsia" w:hAnsiTheme="majorHAnsi" w:cstheme="majorBidi"/>
      <w:color w:val="2E74B5" w:themeColor="accent1" w:themeShade="BF"/>
      <w:sz w:val="32"/>
      <w:szCs w:val="32"/>
      <w:lang w:val="en-GB"/>
    </w:rPr>
  </w:style>
  <w:style w:type="paragraph" w:customStyle="1" w:styleId="Agreement">
    <w:name w:val="Agreement"/>
    <w:basedOn w:val="Normal"/>
    <w:next w:val="Normal"/>
    <w:rsid w:val="005E43A7"/>
    <w:pPr>
      <w:numPr>
        <w:numId w:val="1"/>
      </w:numPr>
      <w:spacing w:before="60" w:after="0" w:line="240" w:lineRule="auto"/>
      <w:jc w:val="left"/>
    </w:pPr>
    <w:rPr>
      <w:rFonts w:ascii="Arial" w:eastAsia="MS Mincho" w:hAnsi="Arial"/>
      <w:b/>
      <w:sz w:val="20"/>
      <w:szCs w:val="24"/>
      <w:lang w:eastAsia="en-GB"/>
    </w:rPr>
  </w:style>
  <w:style w:type="paragraph" w:styleId="ListParagraph">
    <w:name w:val="List Paragraph"/>
    <w:basedOn w:val="Normal"/>
    <w:uiPriority w:val="34"/>
    <w:qFormat/>
    <w:rsid w:val="005E43A7"/>
    <w:pPr>
      <w:ind w:left="720"/>
      <w:contextualSpacing/>
    </w:pPr>
  </w:style>
  <w:style w:type="character" w:customStyle="1" w:styleId="Heading2Char">
    <w:name w:val="Heading 2 Char"/>
    <w:basedOn w:val="DefaultParagraphFont"/>
    <w:link w:val="Heading2"/>
    <w:uiPriority w:val="9"/>
    <w:rsid w:val="005E43A7"/>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uiPriority w:val="35"/>
    <w:unhideWhenUsed/>
    <w:qFormat/>
    <w:rsid w:val="00C912D3"/>
    <w:pPr>
      <w:spacing w:after="200" w:line="240" w:lineRule="auto"/>
    </w:pPr>
    <w:rPr>
      <w:i/>
      <w:iCs/>
      <w:color w:val="44546A" w:themeColor="text2"/>
      <w:sz w:val="18"/>
      <w:szCs w:val="18"/>
    </w:rPr>
  </w:style>
  <w:style w:type="table" w:styleId="TableGrid">
    <w:name w:val="Table Grid"/>
    <w:basedOn w:val="TableNormal"/>
    <w:uiPriority w:val="39"/>
    <w:rsid w:val="0005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133E7"/>
    <w:rPr>
      <w:sz w:val="16"/>
      <w:szCs w:val="16"/>
    </w:rPr>
  </w:style>
  <w:style w:type="paragraph" w:styleId="CommentText">
    <w:name w:val="annotation text"/>
    <w:basedOn w:val="Normal"/>
    <w:link w:val="CommentTextChar"/>
    <w:uiPriority w:val="99"/>
    <w:unhideWhenUsed/>
    <w:rsid w:val="000133E7"/>
    <w:pPr>
      <w:spacing w:line="240" w:lineRule="auto"/>
    </w:pPr>
    <w:rPr>
      <w:sz w:val="20"/>
      <w:szCs w:val="20"/>
    </w:rPr>
  </w:style>
  <w:style w:type="character" w:customStyle="1" w:styleId="CommentTextChar">
    <w:name w:val="Comment Text Char"/>
    <w:basedOn w:val="DefaultParagraphFont"/>
    <w:link w:val="CommentText"/>
    <w:uiPriority w:val="99"/>
    <w:rsid w:val="000133E7"/>
    <w:rPr>
      <w:rFonts w:ascii="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133E7"/>
    <w:rPr>
      <w:b/>
      <w:bCs/>
    </w:rPr>
  </w:style>
  <w:style w:type="character" w:customStyle="1" w:styleId="CommentSubjectChar">
    <w:name w:val="Comment Subject Char"/>
    <w:basedOn w:val="CommentTextChar"/>
    <w:link w:val="CommentSubject"/>
    <w:uiPriority w:val="99"/>
    <w:semiHidden/>
    <w:rsid w:val="000133E7"/>
    <w:rPr>
      <w:rFonts w:ascii="Calibri" w:hAnsi="Calibri" w:cs="Times New Roman"/>
      <w:b/>
      <w:bCs/>
      <w:sz w:val="20"/>
      <w:szCs w:val="20"/>
      <w:lang w:val="en-GB"/>
    </w:rPr>
  </w:style>
  <w:style w:type="paragraph" w:styleId="BalloonText">
    <w:name w:val="Balloon Text"/>
    <w:basedOn w:val="Normal"/>
    <w:link w:val="BalloonTextChar"/>
    <w:uiPriority w:val="99"/>
    <w:semiHidden/>
    <w:unhideWhenUsed/>
    <w:rsid w:val="000133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33E7"/>
    <w:rPr>
      <w:rFonts w:ascii="Segoe UI" w:hAnsi="Segoe UI" w:cs="Segoe UI"/>
      <w:sz w:val="18"/>
      <w:szCs w:val="18"/>
      <w:lang w:val="en-GB"/>
    </w:rPr>
  </w:style>
  <w:style w:type="paragraph" w:customStyle="1" w:styleId="TAL">
    <w:name w:val="TAL"/>
    <w:basedOn w:val="Normal"/>
    <w:link w:val="TALCar"/>
    <w:rsid w:val="006C7DE6"/>
    <w:pPr>
      <w:keepNext/>
      <w:keepLines/>
      <w:overflowPunct w:val="0"/>
      <w:autoSpaceDE w:val="0"/>
      <w:autoSpaceDN w:val="0"/>
      <w:adjustRightInd w:val="0"/>
      <w:spacing w:after="0" w:line="240" w:lineRule="auto"/>
      <w:jc w:val="left"/>
      <w:textAlignment w:val="baseline"/>
    </w:pPr>
    <w:rPr>
      <w:rFonts w:ascii="Arial" w:eastAsia="Times New Roman" w:hAnsi="Arial"/>
      <w:sz w:val="18"/>
      <w:szCs w:val="20"/>
      <w:lang w:val="x-none" w:eastAsia="x-none"/>
    </w:rPr>
  </w:style>
  <w:style w:type="character" w:customStyle="1" w:styleId="TALCar">
    <w:name w:val="TAL Car"/>
    <w:link w:val="TAL"/>
    <w:rsid w:val="006C7DE6"/>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028983">
      <w:bodyDiv w:val="1"/>
      <w:marLeft w:val="0"/>
      <w:marRight w:val="0"/>
      <w:marTop w:val="0"/>
      <w:marBottom w:val="0"/>
      <w:divBdr>
        <w:top w:val="none" w:sz="0" w:space="0" w:color="auto"/>
        <w:left w:val="none" w:sz="0" w:space="0" w:color="auto"/>
        <w:bottom w:val="none" w:sz="0" w:space="0" w:color="auto"/>
        <w:right w:val="none" w:sz="0" w:space="0" w:color="auto"/>
      </w:divBdr>
    </w:div>
    <w:div w:id="210241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F4A5C-7BBD-4F72-B076-58D24092218E}">
  <ds:schemaRefs>
    <ds:schemaRef ds:uri="http://schemas.microsoft.com/sharepoint/v3/contenttype/forms"/>
  </ds:schemaRefs>
</ds:datastoreItem>
</file>

<file path=customXml/itemProps2.xml><?xml version="1.0" encoding="utf-8"?>
<ds:datastoreItem xmlns:ds="http://schemas.openxmlformats.org/officeDocument/2006/customXml" ds:itemID="{CC427C35-4F70-495B-9CB5-022DA93CC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CF7FFB-5A47-454B-BCFD-17CF56A0C5BB}">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AFF666C6-12AB-45AD-81BD-BE20D3B2A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1658</Words>
  <Characters>7885</Characters>
  <Application>Microsoft Office Word</Application>
  <DocSecurity>0</DocSecurity>
  <Lines>194</Lines>
  <Paragraphs>108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(Murali Narasimha)</dc:creator>
  <cp:keywords>CTPClassification=CTP_NT</cp:keywords>
  <dc:description/>
  <cp:lastModifiedBy>Intel (Murali Narasimha)</cp:lastModifiedBy>
  <cp:revision>3</cp:revision>
  <dcterms:created xsi:type="dcterms:W3CDTF">2019-11-08T01:07:00Z</dcterms:created>
  <dcterms:modified xsi:type="dcterms:W3CDTF">2019-11-08T01:09:00Z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f135f28c-18f6-4d5c-9970-865950f62bcc</vt:lpwstr>
  </property>
  <property fmtid="{D5CDD505-2E9C-101B-9397-08002B2CF9AE}" pid="3" name="CTP_TimeStamp">
    <vt:lpwstr>2019-11-08 01:09:01Z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